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952 vom 12. November 2012</w:t>
      </w:r>
    </w:p>
    <w:p>
      <w:r>
        <w:t>VD Tribunal cantonal, 2012-11-12, FR</w:t>
      </w:r>
    </w:p>
    <w:p>
      <w:r>
        <w:rPr>
          <w:b/>
        </w:rPr>
        <w:t xml:space="preserve">Quelle: </w:t>
      </w:r>
      <w:r>
        <w:t>https://mcp.opencaselaw.ch/entscheid/vd_findinfo_D_cision___2012___952</w:t>
      </w:r>
    </w:p>
    <w:p>
      <w:r>
        <w:t>FR: VD_FINDINFO Décision / 2012 / 952 du 12 novembre 2012</w:t>
      </w:r>
    </w:p>
    <w:p>
      <w:r>
        <w:t>IT: VD_FINDINFO Décision / 2012 / 952 del 12 novembre 2012</w:t>
      </w:r>
    </w:p>
    <w:p>
      <w:pPr>
        <w:pStyle w:val="Heading2"/>
      </w:pPr>
      <w:r>
        <w:t>Regeste</w:t>
      </w:r>
    </w:p>
    <w:p>
      <w:r>
        <w:t>DÉFENSE D'OFFICE, CAS BÉNIN | 132 al. 1 let. b CPP (CH), 132 CPP (CH)</w:t>
      </w:r>
    </w:p>
    <w:p>
      <w:pPr>
        <w:pStyle w:val="Heading2"/>
      </w:pPr>
      <w:r>
        <w:t>Erwägungen</w:t>
      </w:r>
    </w:p>
    <w:p>
      <w:r>
        <w:rPr>
          <w:b/>
        </w:rPr>
        <w:t>E. 1</w:t>
      </w:r>
    </w:p>
    <w:p>
      <w:r>
        <w:t>a) Aux termes de l’art. 393 al. 1 let. a CPP (Code de procédure pénale suisse du 5 octobre 2007; RS 312.0),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 Aliberti, in: Kuhn/Jeanneret (éd.), Commentaire romand, Code de procédure pénale suisse, Bâle 2011, n. 11 ad art. 132 CPP).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 19 mai 2009, RSV 312.01] ; art. 80 LOJV [Loi d'organisation judiciaire du 12 décembre 1979, RSV 173.01]). En l’espèce, il y a donc lieu d’entrer en matière sur le recours, qui a été interjeté en temps utile devant l’autorité compétente et qui satisfait aux conditions de forme posées par l’art. 385 al. 1 CPP.</w:t>
      </w:r>
    </w:p>
    <w:p>
      <w:r>
        <w:rPr>
          <w:b/>
        </w:rPr>
        <w:t>E. 2</w:t>
      </w:r>
    </w:p>
    <w:p>
      <w:r>
        <w:t>a) Selon l’art. 132 al. 1 CPP, la direction de la procédure ordonne une défense d’office dans les deux hypothèses suivantes: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(let. a); ou si le prévenu ne dispose pas des moyens nécessaires et que l’assistance d’un défenseur est justifiée pour sauvegarder ses intérêts (let. b).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dernières conditions sont cumulatives.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"passible" (cf. art. 132 al. 3 CPP), ou qu’il "encourt"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également être désigné dans les cas de défense facultative (TF 1B_477/2011 du 4 janvier 2012 c. 2.2;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 jurisprudence du Tribunal fédéral en matière d'assistance judiciaire (TF 1B_477/2011 du 4 janvier 2012 c. 2.2). Selon cette jurisprudence, rendue sur la base des art. 29 al. 3 Cst. (Constitution fédérale de la Confédération suisse du 18 avril 1999; RS 101) et 6 par. 3 let. c CEDH (Convention du 4 novembre 1950 de sauvegarde des droits de l’homme et des libertés fondamentales; RS 0.101),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128 I 225 c. 2.5.2; ATF 120 Ia 43 c. 2a et les références citées; TF 1B_477/2011 du 4 janvier 2012 c. 2.2). Autrement dit,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(JT 2011 III 64; Ruckstuhl, op. cit., n. 37 ad art. 132 CPP). Si les deux conditions mentionnées à l'art. 132 al. 2 CPP doivent être réunies cumulativement (Harari/Aliberti, op. cit., n. 61 ad art. 132 CPP; TF 1B_359/2010 du 13 décembre 2010 c. 3.2), il n'est pas exclu que l'intervention d'un défenseur soit justifiée par d'autres motifs,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1B_477/2011 du 4 janvier 2012 c. 2.2, avec référence à Harari/Aliberti, op. cit., n. 64 ad art. 132 CPP, à Ruckstuhl, op. cit., n. 36 ad art. 132 CPP, et à Lieber, in: Donatsch/Hansjakob/Lieber (éd.), Kommentar zur Schweizerischen Strafprozessordnung, 2010, n. 16 ad art. 132 CPP). c) En l'espèce, il ne s'agit pas d'un cas de défense obligatoire, mais d'un cas de défense facultative, de sorte que la défense d'office ne doit être ordonnée que si les conditions cumulatives de l'art. 132 al. 1 let. b CPP sont réalisées. Or, quoiqu'en dise le recourant, l'affaire est manifestement de peu de gravité au vu de la peine qu'il encourt concrètement. Celle-ci est en effet largement inférieure aux quatre mois ou cent vingt jours-amende de l'art. 132 al. 3 CPP, étant rappelé que la peine contestée s'élève à vingt-cinq jours-amende. Au surplus, l’affaire ne présente aucune difficulté sur le plan des faits dès lors que ceux-ci sont admis, le prévenu ayant, lors de sa seconde audition par la police, déclaré avoir menti lors de sa première audition "parce qu'il avait peur de la police" (PV aud. 2, Réponse 5). A ce stade, seules demeurent donc des questions relatives à l'appréciation juridique de ces faits au regard de l'art. 307 CP; or, ces questions ne soulèvent manifestement pas de telles difficultés qu'elles justifient la désignation d'un conseil dans un cas de si peu de gravité. Pour le surplus, il n’apparaît pas que l'intervention d'un défenseur soit justifiée par un autre motif. A cet égard, il y a lieu de relever qu'U.________ ne saurait tirer argument du fait qu'il a été assisté d'un défenseur d'office lors d'autres procédures pénales, dès lors que les conditions des art. 130 et 132 CPP doivent être examinées dans chaque procédure séparément. Au demeurant, le fait que la peine à laquelle s'expose aujourd'hui le recourant soit complémentaire aux condamnations des 12 décembre 2008 et 30 mai 2012 n'a pas en lui-même d'influence sur l'examen des conditions de l'art. 132 al. 1 let. b CPP dans le cadre de la présente procédure. Enfin, aucun des moyens de preuve proposé par le recourant n'est susceptible de modifier l'appréciation ci-dessus. En définitive, l’assistance d’un défenseur n’apparaît pas nécessaire à la sauvegarde des intérêts du recourant et le prononcé de refus de désignation d’un défenseur d’office rendu le 18 octobre 2012 par le Ministère public de l’arrondissement de Lausanne échappe à la critique.</w:t>
      </w:r>
    </w:p>
    <w:p>
      <w:r>
        <w:rPr>
          <w:b/>
        </w:rPr>
        <w:t>E. 3</w:t>
      </w:r>
    </w:p>
    <w:p>
      <w:r>
        <w:t>Il résulte de ce qui précède que le recours, manifestement mal fondé, doit être rejeté sans autres échanges d’écritures (art. 390 al. 2 CPP). Vu le sort de la cause, il n'y a pas lieu à l'allocation de dépens et la requête tendant à la désignation d'un défenseur d'office pour la procédure de recours doit être rejetée, dès lors que le recours apparaissait d'emblée dénué de chances de succès (Harari/Aliberti, op. cit., n. 41 ad art. 132 CPP; Ruckstuhl, op. cit., n. 10 ad art. 132 CPP; CREP 28 août 2012/558 c. 3; CREP 23 mai 2012/255 c. 4; CREP 19 mars 2012/244 c. 3). Enfin, les frais de la procédure de recours, constitués en l’espèce du seul émolument d'arrêt, par 880 fr. (art. 20 al. 1 TFJP; RSV 312.03.1), seront mis à la charge du recourant, qui succombe (art. 428 al. 1 CPP). Par ces motifs, la Chambre des recours pénale, statuant à huis clos, prononce : I. Le recours est rejeté. II. Le prononcé est confirmé. III. La requête tendant à la désignation d'un défenseur d'office pour la procédure de recours est rejetée. IV. Les frais de la procédure de recours, par 880 fr. (huit cent huitante francs), sont mis à la charge du recourant. V. L'arrêt est exécutoire. Le président :               La greffière : Du L'arrêt qui précède, dont la rédaction a été approuvée à huis clos, est notifié, par l'envoi d'une copie complète, à : - M. Olivier Couchepin, avocat (pour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