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943 vom 27. Februar 2012</w:t>
      </w:r>
    </w:p>
    <w:p>
      <w:r>
        <w:t>VD Tribunal cantonal, 2012-02-27, FR</w:t>
      </w:r>
    </w:p>
    <w:p>
      <w:r>
        <w:rPr>
          <w:b/>
        </w:rPr>
        <w:t xml:space="preserve">Quelle: </w:t>
      </w:r>
      <w:r>
        <w:t>https://mcp.opencaselaw.ch/entscheid/vd_findinfo_D_cision___2012___943</w:t>
      </w:r>
    </w:p>
    <w:p>
      <w:r>
        <w:t>FR: VD_FINDINFO Décision / 2012 / 943 du 27 février 2012</w:t>
      </w:r>
    </w:p>
    <w:p>
      <w:r>
        <w:t>IT: VD_FINDINFO Décision / 2012 / 943 del 27 febbraio 2012</w:t>
      </w:r>
    </w:p>
    <w:p>
      <w:pPr>
        <w:pStyle w:val="Heading2"/>
      </w:pPr>
      <w:r>
        <w:t>Regeste</w:t>
      </w:r>
    </w:p>
    <w:p>
      <w:r>
        <w:t>FILOUTERIE D'AUBERGE, FAUX INTELLECTUEL DANS LES TITRES, FAUX MATÉRIEL DANS LES TITRES | 149 CP, 251 CP</w:t>
      </w:r>
    </w:p>
    <w:p>
      <w:pPr>
        <w:pStyle w:val="Heading2"/>
      </w:pPr>
      <w:r>
        <w:t>Erwägungen</w:t>
      </w:r>
    </w:p>
    <w:p>
      <w:r>
        <w:rPr>
          <w:b/>
        </w:rPr>
        <w:t>E. 1</w:t>
      </w:r>
    </w:p>
    <w:p>
      <w:r>
        <w:t>Interjeté dans les forme et délai légaux par une partie ayant la qualité pour recourir contre le jugement d’un tribunal de première instance qui a clos la procédure (art. 398 al. 1 CPP), l'appel de A.C.________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A.C.________ relève, dans un premier temps, que si le premier juge l'a libéré de l'infraction d'escroquerie (jgt., c. 3), il n'a cependant pas formellement indiqué l'abandon de cette infraction dans son dispositif. Il convient de donner droit à l'appelant sur ce point et de rectifier d'office le dispositif de première instance par l’ajout d’un chiffre II bis nouveau libérant de manière formelle A.C.________ de l'infraction d'escroquerie.</w:t>
      </w:r>
    </w:p>
    <w:p>
      <w:r>
        <w:rPr>
          <w:b/>
        </w:rPr>
        <w:t>E. 4</w:t>
      </w:r>
    </w:p>
    <w:p>
      <w:r>
        <w:t>L'appelant conteste sa condamnation pour filouterie d'auberge. Il soutient n'avoir jamais eu l'intention de voler l'hôtel D.________, étant persuadé que la société Z.________ AG s'acquitterait de la facture. Selon lui, la condition subjective de l'infraction n'est dès lors pas réalisée.</w:t>
      </w:r>
    </w:p>
    <w:p>
      <w:r>
        <w:rPr>
          <w:b/>
        </w:rPr>
        <w:t>E. 4.1</w:t>
      </w:r>
    </w:p>
    <w:p>
      <w:r>
        <w:t>L'art. 149 CP réprime, sur plainte, le comportement de celui qui se sera fait héberger, servir des aliments ou des boissons ou qui aura obtenu d'autres prestations d'un établissement de l'hôtellerie ou de la restauration, et qui aura frustré l'établissement du montant à payer. Même celui qui n'obtient pas des prestations d'hôtellerie pour lui-même peut être l'auteur d'une filouterie d'auberge lorsqu'il a assumé, par une réservation, l'obligation de les payer (TF 6S.86/2001 du 10 avril 2001, consid. 3). Les éléments objectifs de l'infraction sont l'obtention d'une prestation de l'hôtellerie ou de la restauration et la frustration du paiement. Il suffit que le débiteur refuse de s'exécuter notamment en partant sans payer. S'agissant de l'élément subjectif, l'infraction étant intentionnelle, le dol éventuel suffit. L'infraction est dès lors réalisée si l'auteur, au moment où il reçoit la prestation, a la volonté de ne pas payer ou accepte qu'il n'en aura pas les moyens (Dupuis et al., Petit commentaire du Code pénal, Bâle 2012, nn. 12 et 13 ad art. 149 CP et les références citées).</w:t>
      </w:r>
    </w:p>
    <w:p>
      <w:r>
        <w:rPr>
          <w:b/>
        </w:rPr>
        <w:t>E. 4.2</w:t>
      </w:r>
    </w:p>
    <w:p>
      <w:r>
        <w:t>En l'occurrence, il est établi que l'appelant a rédigé au nom de la société Z.________ AG la réservation d'une chambre auprès de l'hôtel D.________, qu'il a rempli le formulaire ad hoc au moment de la remise des clefs et qu'il a également commandé un repas pour quatre personnes, la facture de ce repas étant lié à la réservation de la chambre d'hôtel. Même si l'appelant fait valoir qu'il était persuadé que la société Z.________ AG allait payer la facture, il a admis qu'il avait lui-même rédigé la réservation au nom de cette société avec laquelle son père était en relation d'affaires. S'il avait la certitude que Z.________ AG allait payer, rien ne justifiait qu'il en usurpe l'identité, cela d'autant plus que l'administrateur de cette société, devenue en date du 21 octobre 2008 [...] AG (P. 14), ne l'a jamais autorisé à agir en son nom. Par ailleurs, le fait que le père de l'appelant soit coauteur de cette infraction ne le disculpe pas pour autant. Dans ces circonstances, tant les éléments objectifs que subjectifs de l'infraction sont réunis et la condamnation pour ce motif doit être confirmé.</w:t>
      </w:r>
    </w:p>
    <w:p>
      <w:r>
        <w:rPr>
          <w:b/>
        </w:rPr>
        <w:t>E. 5</w:t>
      </w:r>
    </w:p>
    <w:p>
      <w:r>
        <w:t>L'appelant conteste sa condamnation pour faux dans les titres en lien avec le courriel qu'il a envoyé à l'hôtel D.________ pour réserver une chambre au nom de la société Z.________ AG. Il soutient que ce document ne peut être considéré comme un titre et qu'il doit être retenu comme un simple mensonge écrit, confirmant la réservation qu'il avait faite par téléphone peu auparavant. Il ajoute que l'élément subjectif de l'infraction, soit la volonté, fait défaut ici, puisqu'il a toujours pensé que la société Z.________ AG paierait la facture.</w:t>
      </w:r>
    </w:p>
    <w:p>
      <w:r>
        <w:rPr>
          <w:b/>
        </w:rPr>
        <w:t>E. 5.1</w:t>
      </w:r>
    </w:p>
    <w:p>
      <w:r>
        <w:t>L'art. 110 ch. 4 CP définit les titres comme des écrits destinés et propres à prouver un fait ayant une portée juridique et tous les signes destinés à prouver un tel fait. L'enregistrement sur des supports de données et des supports-images est assimilé à un écrit s'il a la même destination. Un titre n'est considéré comme tel que s'il fixe et recèle l'expression d'une pensée humaine dont il permet de reconnaître l'auteur (FF 1991 II 959). Il doit prouver un fait ayant une portée juridique, à savoir un fait qui, seul ou en liaison avec d'autres faits, donne naissance à un droit, le modifie, le supprime ou le constate (Dupuis et al., op. cit., n. 23 ad art. 110 CP).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constaté ou fait constater faussement, dans un titre, un fait ayant une portée juridique, ou, pour tromper autrui, fait usage d'un tel titre. L'article 251 CP vise non seulement le faux matériel, qui consiste en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faussaire crée un titre qui trompe sur l'identité de celui dont il émane en réalité (ATF 128 IV 265 c. 1.1.1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(G. Gribboh, StGB, Leipziger Kommentar, Grosskementar, 11 ème éd., § 267 n. 163 et 165; P. Cramer, in A. Schönke/H., Shcröder, Strafgesetzbuch, Kommentar, 26 ème éd., § 267 n. 49). Il est également sans importance de savoir si le contenu d'un tel titre est mensonger ou non (ATF 123 IV 17 c. 2). Le Tribunal fédéral a récemment conclu que l'identité de l'expéditeur d'un courriel est clairement reconnaissable et ressort aussi du contenu du message. De plus, l'envoi de courriels est aujourd'hui très répandu dans les usages commerciaux. Ces courriels peuvent dès lors avoir une valeur probante (TF 6B_130/2012 du 22 octobre 2012).</w:t>
      </w:r>
    </w:p>
    <w:p>
      <w:r>
        <w:rPr>
          <w:b/>
        </w:rPr>
        <w:t>E. 5.2</w:t>
      </w:r>
    </w:p>
    <w:p>
      <w:r>
        <w:t>En l'occurrence, A.C.________ a admis qu'il est bien l'auteur du courriel de réservation envoyé à la plaignante et qu'il a signé cette réservation au nom de la société Z.________ AG, sans pourtant être doté d'un quelconque pouvoir de représentation de cette société (P. 14). Aux débats d'appel, l'appelant a admis qu'il agissait sans savoir dans quelle mesure l'administrateur de la société, A.________, était informé. Le courriel de réservation constitue bien un titre au sens de l'art. 110 CP, dont la valeur probante n'est pas contestable, même s'il ne fait que confirmer la réservation que l'appelant avait faite par téléphone. A.C.________ n'est pas la personne indiquée dans le courriel, de sorte qu'il s'agit d'un faux matériel. Cette infraction est dès lors réalisée. Ce grief, mal fondé, doit être rejeté.</w:t>
      </w:r>
    </w:p>
    <w:p>
      <w:r>
        <w:rPr>
          <w:b/>
        </w:rPr>
        <w:t>E. 6</w:t>
      </w:r>
    </w:p>
    <w:p>
      <w:r>
        <w:t>A.C.________ conteste sa condamnation pour extorsion et faux dans les titres en lien avec les sommes d'argent empruntées à S.________. Il conteste avoir fait pression sur le plaignant ou l'avoir menacé. Il affirme au surplus n'avoir jamais envoyé à S.________ la fausse télécopie émanant prétendument de la Barclay's Bank. 6.1.1 L'art. 156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La loi prévoit deux moyens de contrainte, à savoir la violence ou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jouit de sa liberté de décision (ATF 122 IV 322 c. 1a; ATF 120 IV 17 c. 2a/aa et les arrêts cités).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(Corboz, Les infractions en droit suisse, Vol. I. Berne 2002, n. 18 ad art. 156 CP et n. 28 ad art. 146 CP; Stratenwerth, Schweizerisches Strafrecht, Partie spéciale I, 5 ème éd. Berne 1995, § 17 nn. 6 ss et § 15 nn. 31 ss). Il faut en outre un dommage, c'est-à-dire une lésion du patrimoine sous la forme d'une diminution d'actif, d'une augmentation du passif, d'une non-augmentation de l'actif ou d'une non-diminution du passif (ATF 122 IV 279 c. 2a; ATF 121 IV 104 c. 2c). L'extorsion suppose un lien de causalité entre ces divers éléments. Autrement dit, l'usage de la contrainte doit avoir été la cause de l'acte préjudiciable aux intérêts pécuniaires, lequel doit être la cause du dommage (Corboz, op. cit., n. 21 ad art. 156 CP). 6.1.2 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6.2</w:t>
      </w:r>
    </w:p>
    <w:p>
      <w:r>
        <w:t>En l'occurrence, le premier juge a considéré que par son absence à l'audience, l'appelant cherchait à gagner du temps après s'être longtemps désintéressé de la procédure. Il a conclu que les faits tels que retenus dans l'ordonnance de condamnation étaient constants et qu'ils étaient constitutifs de l'infraction d'extorsion s'agissant des 1'000 fr. obtenus après que le plaignant ait déjà prêté 7'000 fr. à l'appelant et à son acolyte, R.________ (jgt., p. 21). La Cour d'appel pénale relève toutefois que, même si les déclarations des protagonistes divergent sur des points mineurs, à savoir si l'appelant est revenu quelques heures ou quelques jours après avoir obtenu le prêt de 7'000 fr. d'S.________, le déroulement des événements est décrit par tous de manière concordante et constante. On retient ainsi que c'est R.________ qui a essayé d'empêcher le plaignant de refermer sa porte en mettant le pied dans l'entrebâillement de la porte, que face au refus d'S.________, les deux comparses sont restés environ vingt minutes sur le pallier, exhortant le plaignant à céder à leur demande, qu'ils n'ont pas menacé verbalement ou physiquement ce dernier, lui laissant tout au plus entendre que s'il refusait de prêter les 1'000 fr. demandés, le remboursement de la somme de 7'000 fr., initialement prêtée ne pourrait peut-être pas se faire dans les délais convenus. Le plaignant n'a jamais déclaré s'être senti menacé et il a finalement accepté de prêter la somme supplémentaire demandée, après avoir rejoint les deux hommes dans un bar proche de chez lui et avoir discuté avec eux (P. 4; PV aud. 3; PV aud. 4 p. 3). Il faut également relever que S.________ a retiré sa plainte le 19 novembre 2010, expliquant que pour lui, l'appelant avait été très largement manipulé par son comparse et qu'il l'avait au surplus régulièrement remboursé du mois de février à décembre 2010. S'agissant de la fausse télécopie émanant prétendument de la Barclay's Bank, elle a été envoyée depuis l'hôtel où R.________ résidait. Rien n'indique que l'appelant y dormait aussi et rien au dossier ne permet de retenir que ce dernier aurait participé à la création de ce faux avec R.________ ou qu'il aurait donné son accord pour en faire usage, cela d'autant plus que le plaignant lui-même a déclaré avoir eu le sentiment que R.________ était le meneur et que A.C.________ s'était fait manipulé. Compte tenu de ce qui précède, il convient de libérer – au bénéfice du doute - A.C.________ des infractions d'extorsion et de faux dans les titres s'agissant des événements concernant S.________.</w:t>
      </w:r>
    </w:p>
    <w:p>
      <w:r>
        <w:rPr>
          <w:b/>
        </w:rPr>
        <w:t>E. 7</w:t>
      </w:r>
    </w:p>
    <w:p>
      <w:r>
        <w:t>Compte tenu de l'abandon de deux chefs d'inculpation initialement retenus à l'encontre de A.C.________, il convient de fixer la peine en conséquence.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7.1.2 L'art. 41 CP prévoit que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Le juge doit motiver le choix de la courte peine privative de liberté ferme de manière circonstanciée (al. 2). Ainsi, pour pouvoir prononcer une peine privative de liberté de moins de six mois, trois conditions cumulatives doivent être remplies. Il faut premièrement que les conditions de l'art. 42 CP concernant le sursis à l'exécution de la peine ne soient pas réunies. Il faut deuxièmement, respectivement troisièmement, qu'il y ait lieu d'admettre que la peine pécuniaire ainsi que la peine de travail d'intérêt général ne peuvent pas être exécutées par le condamné. Si une seule des trois conditions au prononcé d'une peine de moins de 6 mois en vertu de l'art. 41 CP n'est pas réalisée, une telle peine ne peut pas être prononcée (CCASS, 28 juin 2010 n° 256 c. 2). 7.1.3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TF 6B_541/2007 du 13 mai 2008, c.2.2 et la jurisprudence citée).</w:t>
      </w:r>
    </w:p>
    <w:p>
      <w:r>
        <w:rPr>
          <w:b/>
        </w:rPr>
        <w:t>E. 7.2</w:t>
      </w:r>
    </w:p>
    <w:p>
      <w:r>
        <w:t>En l'occurrence, A.C.________ s'est rendu coupable de faux dans les titres et de filouterie d'auberge. A charge, il convient de retenir ses antécédents, pour des infractions du même genre que celles jugées ici, à savoir obtenir par des procédés fallacieux des prestations auxquelles il n'a pas droit. On retiendra également ses dénégations constantes, l'appelant affirmant qu'il n'est pas l'auteur des actes qui lui sont reprochés, tout en se reconnaissant débiteur des sommes et en ne payant rien au plaignant D.________. A.C.________ a fait défaut le 17 octobre 2011 mais également en cours d'enquête (PV des opérations, p. 3), démontrant ainsi sa volonté d'échapper à ses obligations, ainsi qu'une absence de prise de conscience de la gravité de son comportement. A décharge, on retiendra que l'appelant a signé une reconnaissance de dette en faveur de D.________. Considérant l'ensemble de ces éléments, une peine privative de liberté de 4 mois est adéquate au regard des infractions commises, de la culpabilité de l’appelant et de sa situation personnelle. Compte tenu de ses précédentes condamnations à des peines privatives de liberté, pour des délits similaires à ceux jugés dans la présente cause, qui n'ont pas empêché l'appelant de commettre les infractions objet de la présente cause, seul un pronostic défavorable peut être posé. La première condition de l'art. 41 al. 1 CP est dès lors réalisée. Au surplus, une peine pécuniaire et un travail d'intérêt général doivent être exclus pour des motifs de prévention spéciale. Tout d'abord, l'appelant, s'il a indiqué avoir gardé un domicile à Vernier, a expliqué vivre actuellement à Belgrade, être sans emploi depuis juillet 2008 et subvenir à ses besoins grâce à la rente AVS que son père reçoit. Ces éléments permettent d'exclure une peine de travail d'intérêt général ou une peine pécuniaire. Au surplus, l'appelant n'a pas hésité à utiliser des procédés fallacieux pour obtenir des prestations auxquelles il n'avait pas droit, nonobstant deux condamnations assorties du sursis prononcées en 2003 et en 2005. Il doit par conséquent réaliser que ses récidives sont sanctionnées par des peines privatives de liberté fermes. Partant, les conditions de l'octroi du sursis ne sont pas réalisées.</w:t>
      </w:r>
    </w:p>
    <w:p>
      <w:r>
        <w:rPr>
          <w:b/>
        </w:rPr>
        <w:t>E. 8</w:t>
      </w:r>
    </w:p>
    <w:p>
      <w:r>
        <w:t>juin 2005 était assortie d'un délai d'épreuve de trois ans, arrivant à échéance le 8 juin 2008. Or, les faits de la présente cause ont été jugés le 27 février 2012, soit plus de trois ans après l'échéance de ce délai d'épreuve, de sorte qu'il n'est pas possible ni de le révoquer, ni de prolonger la durée du délai d'épreuve (art. 46 al. 5 CP). L'appel doit être admis sur ce point.</w:t>
      </w:r>
    </w:p>
    <w:p>
      <w:r>
        <w:rPr>
          <w:b/>
        </w:rPr>
        <w:t>E. 8.1</w:t>
      </w:r>
    </w:p>
    <w:p>
      <w:r>
        <w:t>En vertu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révocation ne peut plus être ordonnée lorsque trois ans se sont écoulés depuis l'expiration du délai d'épreuve (al. 5).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w:t>
      </w:r>
    </w:p>
    <w:p>
      <w:r>
        <w:rPr>
          <w:b/>
        </w:rPr>
        <w:t>E. 8.2</w:t>
      </w:r>
    </w:p>
    <w:p>
      <w:r>
        <w:t>En l'espèce, la Cour d'appel pénale considère que l'exécution de la peine privative de liberté ferme prononcée est de nature à avoir un effet dissuasif suffisant, justifiant ainsi de renoncer à la révocation du sursis antérieur (TF 6B_855/2010 du 7 avril 2011 c. 2.4). Au surplus, la peine prononcée le</w:t>
      </w:r>
    </w:p>
    <w:p>
      <w:r>
        <w:rPr>
          <w:b/>
        </w:rPr>
        <w:t>E. 9</w:t>
      </w:r>
    </w:p>
    <w:p>
      <w:r>
        <w:t>En définitive, l'appel de A.C.________ est partiellement admis. Le jugement rendu par le Tribunal de police de l'arrondissement de Lausanne est modifié en ce sens que l'appelant est libéré des accusations d'escroquerie et d'extorsion, la peine prononcée étant réduite de huit à quatre mois de privation de liberté. Il est au surplus renoncé à la révocation du sursis accordé le 8 juin 2005.</w:t>
      </w:r>
    </w:p>
    <w:p>
      <w:r>
        <w:rPr>
          <w:b/>
        </w:rPr>
        <w:t>E. 10</w:t>
      </w:r>
    </w:p>
    <w:p>
      <w:r>
        <w:t>Compte tenu notamment du temps consacré, de la relative importance de l'affaire et du résultat obtenu, une indemnité de défense d’office pour la procédure d'appel d'un montant de 2'570 fr. est allouée à Me Valérie Mérinat. Les frais d'appel, par 5'030 fr., y compris l'indemnité allouée au défenseur d'office, sont mis par moitié à la charge de A.C.________, par 2'515 fr., le solde étant laissé à la charge de l’Etat (art. 428 al. 1 CPP). A.C.________ ne sera tenu de rembourser à l’Etat la moitié du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