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939 vom 9. August 2012</w:t>
      </w:r>
    </w:p>
    <w:p>
      <w:r>
        <w:t>VD Tribunal cantonal, 2012-08-09, FR</w:t>
      </w:r>
    </w:p>
    <w:p>
      <w:r>
        <w:rPr>
          <w:b/>
        </w:rPr>
        <w:t xml:space="preserve">Quelle: </w:t>
      </w:r>
      <w:r>
        <w:t>https://mcp.opencaselaw.ch/entscheid/vd_findinfo_D_cision___2012___939</w:t>
      </w:r>
    </w:p>
    <w:p>
      <w:r>
        <w:t>FR: VD_FINDINFO Décision / 2012 / 939 du 9 août 2012</w:t>
      </w:r>
    </w:p>
    <w:p>
      <w:r>
        <w:t>IT: VD_FINDINFO Décision / 2012 / 939 del 9 agosto 2012</w:t>
      </w:r>
    </w:p>
    <w:p>
      <w:pPr>
        <w:pStyle w:val="Heading2"/>
      </w:pPr>
      <w:r>
        <w:t>Regeste</w:t>
      </w:r>
    </w:p>
    <w:p>
      <w:r>
        <w:t>NON-LIEU, ENQUÊTE PÉNALE | 174 CP, 310 CPP (CH)</w:t>
      </w:r>
    </w:p>
    <w:p>
      <w:pPr>
        <w:pStyle w:val="Heading2"/>
      </w:pPr>
      <w:r>
        <w:t>Erwägungen</w:t>
      </w:r>
    </w:p>
    <w:p>
      <w:r>
        <w:rPr>
          <w:b/>
        </w:rPr>
        <w:t>E. 8</w:t>
      </w:r>
    </w:p>
    <w:p>
      <w:r>
        <w:t>CPP imposent de renoncer à l’ouverture d’une poursuite pénale (TF 1B_111/2012 du 5 avril 2012 c. 2.1; TF 1B_67/2012 du 29 mai 2012 c. 2.2),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 commet l'infraction de diffamation celui qui, en s’adressant à un tiers, aura accusé une personne ou jeté sur elle le soupçon de tenir une conduite contraire à l’honneur, ou de tout autre fait propre à porter atteinte à sa considération (art. 173 ch. 1 CP [Code pénal suisse; RS 311.0]), que l’inculpé n’encourra aucune peine s’il prouve que les allégations qu’il a articulées ou propagées sont conformes à la vérité ou qu’il avait des raisons sérieuses de les tenir de bonne foi pour vraies (art. 173 ch. 2 CP), qu'il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que la calomnie est réprimée à l'art. 174 CP qui dispose que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étant, sur plainte, puni d’une peine privative de liberté de trois ans au plus ou d’une peine pécuniaire, que l’honneur protégé par le droit pénal est le droit de chacun de ne pas être considéré comme une personne méprisable (ATF 132 IV 112 c. 2.1; ATF 128 IV 53 c. 1a; ATF 117 IV 27 c. 2c), que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que sous-entendre ou affirmer qu'une personne a commis un délit pénal, notamment une escroquerie, est attentatoire à l'honneur au sens des art. 173 ss CP (ATF 122 IV 311; ATF 116 IV 31, JT 1992 IV 28); attendu qu'en l'espèce, il n'est pas contesté que la lettre de licenciement contient l'allégation de fait selon laquelle le recourant aurait décompté des heures de travail non effectuées et que ce procédé s'apparenterait à une escroquerie, que ce faisant, cette lettre jette le soupçon que le recourant a eu une conduite contraire à l'honneur, voire a commis une infraction, que cette lettre a été communiquée à un tiers, une autorité officielle pouvant revêtir la qualité de tiers (Dupuis et alii (éd.), Petit commentaire, Code pénal, n. 19 ad art. 20 CP et les références citées), qu'en l'état, soit avant même l'ouverture de toute instruction, il était dès lors prématuré d'exclure la commission de l'une de ces infractions, que les conditions d'un refus d'entrée en matière au sens de l'art. 310 al. 1 CPP ne sont donc pas réunies, qu'il appartiendra dès lors au procureur d'ouvrir une instruction visant à établir les faits, et notamment de demander aux personnes responsables au sein de L._____ de faire la preuve de leur bonne foi ou de la vérité de leurs affirmations s'agissant du recourant; attendu, en définitive, que le recours est admis et l'ordonnance annulée, que le dossier de la cause est renvoyé au Procureur d'arrondissement itinérant pour qu'il instruise la plainte dans le sens des considérants, puis rende une nouvelle décision, que Me Foetisch peut être désigné comme conseil d'office pour la présente procédure de recours, qu'il appartiendra au Procureur de statuer sur la requête d'assistance judiciaire pour la procédure au fond, que les frais de la procédure de recours, constitués en l’espèce de l’émolument d'arrêt, par 550 fr. (art. 20 al. 1 TFJP [Tarif des frais judiciaires pénaux du 28 septembre 2010, RSV 312.03.1]) et des frais imputables à la défense d’office (art. 422 al. 1 et 2 let. a CPP), fixés à 360 fr. plus la TVA par 28 fr. 80, seront laissés à la charge de l’Etat (art. 428 al. 4 CPP). Par ces motifs, la Chambre des recours pénale, statuant à huis clos prononce : I. Le recours est admis. II. L'ordonnance attaquée est annulée. III. Le dossier de la cause est renvoyé au Procureur d'arrondissement itinérant pour qu'il procède dans le sens des considérants. IV. Me Patrick Foetisch est désigné comme conseil d’office de G.________ pour la procédure de recours, une indemnité de 388 fr. 80 (trois cent huitante huit francs et huitante centimes) lui étant allouée. V.              Les frais d'arrêt, par 440 fr. (quatre cent quarante francs), sont laissés à la charge de l'Etat. VI.              Le présent arrêt est exécutoire. Le président :               La greffière : Du L'arrêt qui précède, dont la rédaction a été approuvée à huis clos, est notifié, par l'envoi d'une copie complète, à : - Me Patrick Foetisch, avocat (pour G.________),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