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938 vom 19. Juni 2012</w:t>
      </w:r>
    </w:p>
    <w:p>
      <w:r>
        <w:t>VD Tribunal cantonal, 2012-06-19, FR</w:t>
      </w:r>
    </w:p>
    <w:p>
      <w:r>
        <w:rPr>
          <w:b/>
        </w:rPr>
        <w:t xml:space="preserve">Quelle: </w:t>
      </w:r>
      <w:r>
        <w:t>https://mcp.opencaselaw.ch/entscheid/vd_findinfo_D_cision___2012___938</w:t>
      </w:r>
    </w:p>
    <w:p>
      <w:r>
        <w:t>FR: VD_FINDINFO Décision / 2012 / 938 du 19 juin 2012</w:t>
      </w:r>
    </w:p>
    <w:p>
      <w:r>
        <w:t>IT: VD_FINDINFO Décision / 2012 / 938 del 19 giugno 2012</w:t>
      </w:r>
    </w:p>
    <w:p>
      <w:pPr>
        <w:pStyle w:val="Heading2"/>
      </w:pPr>
      <w:r>
        <w:t>Regeste</w:t>
      </w:r>
    </w:p>
    <w:p>
      <w:r>
        <w:t>TORT MORAL, INTERDICTION D'EXERCER UNE PROFESSION | 49 CO, 67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Interjetés dans les forme et délais légaux par des parties ayant la qualité pour recourir (382 al. 1 CPP) contre le jugement d’un tribunal de première instance qui a clos la procédure (art. 398 al. 1 CPP), l'appel formé par C.________, ainsi que l'appel joint formé par N.________, suffisamment motivés au sens de l'art. 399 al. 3 CPP, sont recevables. Les appels sont traités selon la procédure écrite en application de l'art. 406 al. 1 let. b et e CPP.</w:t>
      </w:r>
    </w:p>
    <w:p>
      <w:r>
        <w:rPr>
          <w:b/>
        </w:rPr>
        <w:t>E. 2</w:t>
      </w:r>
    </w:p>
    <w:p>
      <w:r>
        <w:t>En vertu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C.________ conteste l'interdiction d'exercer son activité d'agriculteur, dite interdiction portant sur l'élevage des bovins et la fabrication de fromages pour une durée de 3 ans.</w:t>
      </w:r>
    </w:p>
    <w:p>
      <w:r>
        <w:rPr>
          <w:b/>
        </w:rPr>
        <w:t>E. 3.1</w:t>
      </w:r>
    </w:p>
    <w:p>
      <w:r>
        <w:t>Aux termes de l'art. 67 CP, si l'auteur a commis un crime ou un délit dans l'exercice d'une profession, d'une industrie ou d'un commerce et qu'il a été condamné pour cette infraction à une peine privative de liberté de plus de 6 mois ou à une peine pécuniaire de plus de 180 jours-amende, le juge peut lui interdire totalement ou partiellement l'exercice de cette activité ou d'activités comparables pour une durée de six mois à cinq ans s'il y a lieu de craindre de nouveau abus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 Selon l'art. 67a CP, l'interdiction d'exercer une profession a effet à partir du jour où le jugement qui la prononce entre en force. La durée de l'exécution d'une peine privative de liberté ou d'une mesure entraînant une privation de liberté n'est pas imputée sur celle de l'interdiction (al. 1). Si l'auteur n'a pas subi la mise à l'épreuve avec succès et si la peine prononcée avec sursis est exécutée ou que la réintégration dans une peine ou une mesure est ordonnée, la durée de l'interdiction d'exercer une profession court dès le jour où l'auteur est libéré conditionnellement ou définitivement ou dès le jour où la sanction est remise ou levée (al. 2). Cette mesure vise à rendre plus difficile, voire même empêcher la répétition d'infractions déterminées et à protéger la collectivité contre de nouveaux abus (Bischovsky in : Roth/Moreillon [éd.], Commentaire romand, Code pénal I, Bâle 2009, n. 3, ad art. 67; ATF 78 IV 217; FF 1999 1911).</w:t>
      </w:r>
    </w:p>
    <w:p>
      <w:r>
        <w:rPr>
          <w:b/>
        </w:rPr>
        <w:t>E. 3.2</w:t>
      </w:r>
    </w:p>
    <w:p>
      <w:r>
        <w:t>C.________ a commis des délits dans l'exercice de sa profession d'agriculteur, en compromettant la santé du consommateur par une fabrication bâclée de fromages et en négligeant le cheptel bovin. Divers rapports de la police ou de l'agence pour la qualité et l'hygiène alimentaire font état de l'irrespect des règles d'hygiène de l'appelant et de sa négligence dans l'entretien de sa ferme et des soins donnés au bétail (P. 14; P. 15; P. 129; cf. supra consid. 3.1 et 3.2). Pour ces infractions, l'appelant a été condamné à une peine privative de liberté supérieure à 6 mois. Par ailleurs, l'intéressé fait d'ores et déjà l'objet d'une nouvelle dénonciation datée du 18 avril 2012 (P. 150; cf. supra consid. 4), de sorte qu'il y a lieu de craindre de nouveaux abus s'agissant des soins à prodiguer à son bétail et des règles élémentaires d'hygiène à respecter dans son exploitation La lettre de l'agence régionale pour la qualité et l'hygiène alimentaire du 4 septembre 2011 ne permet absolument pas d'exclure de nouveaux risques d'abus (P. 151). D'une part, ce courrier est antérieur à la nouvelle dénonciation. D'autre part, le contrôle a été effectué suite à la demande expresse de l'intéressé qui a donc préparé la visite en question. En outre, il résulte du rapport d'expertise psychiatrique de l'intéressé que ce dernier représente un risque élevé de réitération de passage à l'acte illicite. Le seul fait que l'appelant soit désormais soumis à un traitement psychothérapeutique ne permet pas, en l'état, d'exclure un risque de récidive, l'expert s'étant au demeurant montré très réservé sur l'efficacité des mesures médicales proposées en ce qui concerne la diminution du risque de réitération (P. 100). Enfin, compte tenu du fait que C.________ persiste dans son comportement délictueux nonobstant les condamnations et mesures prises auparavant à son encontre, d'autres mesures moins restrictives ne seraient pas propres à atteindre le but visé d'éviter que C.________ commette de nouvelles infractions en relation à son exploitation agricole. Partant, la mesure prononcée est nécessaire, appropriée et proportionnée. Au vu de ce qui précède, on doit admettre que toutes les conditions de l'art. 67 CP sont réalisées, de sorte que la mesure d'interdiction prononcée par les premiers juges ne viole pas le droit fédéral.</w:t>
      </w:r>
    </w:p>
    <w:p>
      <w:r>
        <w:rPr>
          <w:b/>
        </w:rPr>
        <w:t>E. 4</w:t>
      </w:r>
    </w:p>
    <w:p>
      <w:r>
        <w:t>C.________ conteste le montant de l'indemnité pour tort moral de 5'000 fr. alloué à N.________, celui-ci devant être fixé à 2'000 francs. N.________, quant à elle, considère que le montant de l'indemnité doit s'élever à 7'000 francs.</w:t>
      </w:r>
    </w:p>
    <w:p>
      <w:r>
        <w:rPr>
          <w:b/>
        </w:rPr>
        <w:t>E. 4.1</w:t>
      </w:r>
    </w:p>
    <w:p>
      <w:r>
        <w:t>Conformément à l'art. 49 CO, celui qui subit une atteinte illicite à sa personnalité a droit à une somme d'argent à titre de réparation morale, pour autant que la gravité de l'atteinte le justifie. L'ampleur de la réparation morale dépend avant tout de la gravité des souffrances physiques consécutives à l'atteinte subie par la victime et de la possibilité d'adoucir sensiblement, par le versement d'une somme d'argent, la douleur morale qui en résulte. Sa détermination relève du pouvoir d'appréciation du juge. L'évaluation du tort moral échappe par sa nature à une appréciation rigoureuse, puisqu'elle concerne des valeurs par définition non mesurables. En effet, nul ne peut réellement évaluer la souffrance d'autrui (Werro, La responsabilité civile, Berne 2005, n. 1271).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ATF 129 IV 22 consid. 7.2 et les arrêts cités).</w:t>
      </w:r>
    </w:p>
    <w:p>
      <w:r>
        <w:rPr>
          <w:b/>
        </w:rPr>
        <w:t>E. 4.2</w:t>
      </w:r>
    </w:p>
    <w:p>
      <w:r>
        <w:t>Le 21 mars 2011, N.________ a fait l'objet d'une tentative de mise en danger de la vie d'autrui de la part de C.________. Contrairement à ce que prétend l'appelant, N.________ a subi des séquelles suite à cet événement. Il résulte d'un certificat médical du 24 mars 2011 que N.________ a présenté après l'agression un état d'angoisse et de tristesse important. Elle a par ailleurs subi un grave choc émotionnel et a souffert d'insomnie. Dès lors, une médication idoine (Xannax) lui a été prescrite par son médecin traitant. En outre, des menaces à l'encontre de N.________ ont été proférées à plusieurs reprises avant l'incident de la circulation. Ainsi, l'agression de C.________ apparaît comme une mise en exécution des menaces de mort et confère à l'ensemble des faits un caractère de gravité évident. Au vu des circonstances précitées, les premiers juges n'ont pas excédé leur pouvoir d'appréciation en fixant l'indemnité à 5'000 fr., montant qui paraît proportionné à la gravité de l'atteinte subie par N.________. Pour le même motif, le montant de 7'000 fr. demandé par N.________ paraît trop élevé.</w:t>
      </w:r>
    </w:p>
    <w:p>
      <w:r>
        <w:rPr>
          <w:b/>
        </w:rPr>
        <w:t>E. 5</w:t>
      </w:r>
    </w:p>
    <w:p>
      <w:r>
        <w:t>En définitive, l'appel de C.________, ainsi que l'appel joint de N.________ sont rejetés.</w:t>
      </w:r>
    </w:p>
    <w:p>
      <w:r>
        <w:rPr>
          <w:b/>
        </w:rPr>
        <w:t>E. 6</w:t>
      </w:r>
    </w:p>
    <w:p>
      <w:r>
        <w:t>Compte tenu notamment du temps consacré, de la relative importance de l'affaire et du résultat obtenu, une indemnité de défense d'office pour la procédure d'appel d'un montant de 1'414.80 fr., TVA et débours inclus, est allouée à Me Pierre Bloch, à la charge de C.________. Les frais d'appel, par 1'100 fr. sont mis à la charge de C.________ (art. 428 al. 1 CPP). L'appelant sera tenu de rembourser à l'Etat l'indemnité du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