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933 vom 16. Juli 2012</w:t>
      </w:r>
    </w:p>
    <w:p>
      <w:r>
        <w:t>VD Tribunal cantonal, 2012-07-16, FR</w:t>
      </w:r>
    </w:p>
    <w:p>
      <w:r>
        <w:rPr>
          <w:b/>
        </w:rPr>
        <w:t xml:space="preserve">Quelle: </w:t>
      </w:r>
      <w:r>
        <w:t>https://mcp.opencaselaw.ch/entscheid/vd_findinfo_D_cision___2012___933</w:t>
      </w:r>
    </w:p>
    <w:p>
      <w:r>
        <w:t>FR: VD_FINDINFO Décision / 2012 / 933 du 16 juillet 2012</w:t>
      </w:r>
    </w:p>
    <w:p>
      <w:r>
        <w:t>IT: VD_FINDINFO Décision / 2012 / 933 del 16 luglio 2012</w:t>
      </w:r>
    </w:p>
    <w:p>
      <w:pPr>
        <w:pStyle w:val="Heading2"/>
      </w:pPr>
      <w:r>
        <w:t>Regeste</w:t>
      </w:r>
    </w:p>
    <w:p>
      <w:r>
        <w:t>DÉCISION D'IRRECEVABILITÉ, DIFFAMATION, JOURNALISTE, JOURNAL{PRESSE} | 173 CP, 310 CPP (CH)</w:t>
      </w:r>
    </w:p>
    <w:p>
      <w:pPr>
        <w:pStyle w:val="Heading2"/>
      </w:pPr>
      <w:r>
        <w:t>Erwägungen</w:t>
      </w:r>
    </w:p>
    <w:p>
      <w:r>
        <w:rPr>
          <w:b/>
        </w:rPr>
        <w:t>E. 1</w:t>
      </w:r>
    </w:p>
    <w:p>
      <w:r>
        <w:t>Interjeté dans le délai légal (art. 322 al. 2 CPP,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w:t>
      </w:r>
    </w:p>
    <w:p>
      <w:r>
        <w:t>L'art. 310 al. 1 CPP prévoit que le ministère public rend immédiatement une ordonnance de non-entrée en matière lorsqu'il apparaît, à réception de la dénonciation (cf. art. 301 s. CPP) ou de la plainte (Cornu, in : Kuhn/Jeanneret [éd.], Commentaire romand, Code de procédure pénale suisse, Bâle 2011, n. 1 ad art. 310 CPP) ou après une procédure préliminaire limitée aux investigations de la police (art. 300 al. 1 et 306 s. CPP), que les éléments constitutifs de l'infraction ou les conditions à l'ouverture de l'action pénale ne sont manifestement pas réunis (TF 1B_111/2012 du 5 avril 2012 c. 2.1; TF 1B_67/2012 du 29 mai 2012 c. 2.2). En d'autres termes, il faut que le comportement dénoncé apparaisse d’emblée comme non punissable (Cornu, op. cit., n. 10 ad art. 310 CPP). Au vu de ce qui précède, on doit admettre qu'une ordonnance de non-entrée en matière peut également être rendue lorsqu'il apparaît d'emblée que l'inculpé pourra se prévaloir d'un fait justificatif, puisque, de fait, son comportement apparaît ainsi également comme non punissable (CREP du 3 août 2012/490).</w:t>
      </w:r>
    </w:p>
    <w:p>
      <w:r>
        <w:rPr>
          <w:b/>
        </w:rPr>
        <w:t>E. 3</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Selon la jurisprudence, la question de savoir si une personne est directement atteinte dans son honneur par des propos contenus dans un article de presse doit être élucidée en fonction des propos litigieux, en se plaçant du point de vue d'un lecteur non prévenu. Il faut donc rechercher, non pas qui l'auteur des propos entendait viser, mais qui apparaissait visé au vu des propos formulés dans le cas concret, en se fondant sur le sens que le lecteur non prévenu doit, dans les circonstances données, leur attribuer. Pour ce faire, il y a lieu de procéder à une interprétation objective, en analysant non seulement les expressions utilisées, mais le sens qui se dégage du texte dans son ensemble. Une personne est directement visée non seulement lorsque l'un ou l'autre propos, examiné séparément, est dirigé directement contre elle, mais aussi lorsqu'il résulte de l'ensemble du texte incriminé qu'elle est directement concernée, étant rappelé qu'il n'est pas nécessaire que la personne visée soit nommément désignée, mais qu'il suffit qu'elle soit reconnaissable (TF 6S.504/2005 du 28 février 2006; ATF 117 IV 27). Enfin, l'inculpé n'encourt aucune peine s'il prouve que les allégations qu'il a articulées ou propagées sont conformes à la vérité ou qu'il avait des raisons sérieuses de les tenir de bonne foi pour vraies (art. 173 ch. 2 CP). Le chiffre 3 de cette même disposition émet une réserve à l'utilisation des preuves libératoires, en ce sens que l’inculpé de diffamation n'est pas admis à faire ces preuves – et il est donc punissable – si ses allégations ont été articulées ou propagées sans égard à l’intérêt public ou sans autre motif suffisant, principalement dans le dessein de dire du mal d’autrui, notamment lorsqu’elles ont trait à la vie privée ou à la vie de famille. Selon la jurisprudence, les deux conditions du chiffre 3 doivent être réunies cumulativement. Ainsi, la preuve libératoire ne peut être refusée que si l'auteur s'est exprimé sans motif suffisant et s'il a agi principalement dans le dessein de dire du mal d'autrui (ATF 116 IV 31 c. 3; ATF 116 IV 205 c. 3b). b) En l'espèce, c'est à tort que le recourant soutient que le journal [...] se serait rendu coupable de diffamation. En effet, tout d'abord, l'article incriminé ne contient aucun renseignement personnel concernant le recourant (âge, domicile, etc.). Dès lors, il ne permet pas d'identifier B.________, qui n'est reconnaissable que pour les personnes déjà au courant de son identité. Pour ce motif, l'infraction de diffamation n'est manifestement pas réalisée et l'ordonnance de non-entrée en matière ne prête pas le flanc à la critique. Dès lors, la question de savoir si les allégations du journaliste selon lesquelles "l’homme n’en [était] pas à son premier coup du genre" doivent être interprétées comme se rapportant au "début de bagarre" engendré par le recourant ou au "comportement pervers" de celui-ci peut rester ouverte. A cet égard, on relèvera toutefois qu'il n'existerait aucun motif de priver le journaliste de son droit de se prévaloir d'une preuve libératoire (art. 173 al. 3 CP) et qu'au vu des éléments au dossier, celui-ci n'aurait aucune peine à faire la preuve de la vérité en démontrant que le recourant a un passé judiciaire, B.________ lui-même admettant avoir fait l'objet d'une précédente condamnation en 2006 pour injure et avoir injurié les agents de sécurité du carnaval en mars 2012. Dès lors, pour ce motif également, le comportement du journaliste apparaît d'emblée comme non punissable. Au vu de ces éléments, la décision attaquée n'est pas critiquable en tant qu'elle considère que l'article incriminé n'est pas constitutif de diffamation, sans qu'une quelconque instruction ne se justifie sur ce point.</w:t>
      </w:r>
    </w:p>
    <w:p>
      <w:r>
        <w:rPr>
          <w:b/>
        </w:rPr>
        <w:t>E. 4</w:t>
      </w:r>
    </w:p>
    <w:p>
      <w:r>
        <w:t>Il résulte de ce qui précède que le recours, manifestement mal fondé, doit être rejeté sans autres échanges d’écritures (art. 390 al. 2 CPP). Les frais de la procédure de recours, constitués en l’espèce de l’émolument d'arrêt, par 550 fr. (art. 20 al. 1 TFJP; RSV 312.03.1) seront mis à la charge du recourant, qui succombe (art. 428 al. 1 CPP). Par ces motifs, la Chambre des recours pénale, statuant à huis clos, prononce : I. Le recours est rejeté. II. L'ordonnance attaquée est confirmée. III. Les frais d'arrêt, par 550 fr. (cinq cent cinquante francs), sont mis à la charge de B.________. IV. Le présent arrêt est exécutoire. Le président :               La greffière : Du L'arrêt qui précède, dont la rédaction a été approuvée à huis clos, est notifié, par l'envoi d'une copie complète, à : - M. B.________ - Ministère public central, et communiqué à : ‑ M. le Procureur du Ministère public de l’arrondissement du Nord vaudois,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