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 vom 16. Januar 2012</w:t>
      </w:r>
    </w:p>
    <w:p>
      <w:r>
        <w:t>VD Tribunal cantonal, 2012-01-16, FR</w:t>
      </w:r>
    </w:p>
    <w:p>
      <w:r>
        <w:rPr>
          <w:b/>
        </w:rPr>
        <w:t xml:space="preserve">Quelle: </w:t>
      </w:r>
      <w:r>
        <w:t>https://mcp.opencaselaw.ch/entscheid/vd_findinfo_D_cision___2012___93</w:t>
      </w:r>
    </w:p>
    <w:p>
      <w:r>
        <w:t>FR: VD_FINDINFO Décision / 2012 / 93 du 16 janvier 2012</w:t>
      </w:r>
    </w:p>
    <w:p>
      <w:r>
        <w:t>IT: VD_FINDINFO Décision / 2012 / 93 del 16 gennaio 2012</w:t>
      </w:r>
    </w:p>
    <w:p>
      <w:pPr>
        <w:pStyle w:val="Heading2"/>
      </w:pPr>
      <w:r>
        <w:t>Regeste</w:t>
      </w:r>
    </w:p>
    <w:p>
      <w:r>
        <w:t>SÉQUESTRE{MESURE PROVISIONNELLE} | 263 CPP (CH), 393 al. 1 let. a CPP (CH)</w:t>
      </w:r>
    </w:p>
    <w:p>
      <w:pPr>
        <w:pStyle w:val="Heading2"/>
      </w:pPr>
      <w:r>
        <w:t>Volltext</w:t>
      </w:r>
    </w:p>
    <w:p>
      <w:r>
        <w:t>Vaud Tribunal cantonal Chambre des recours pénale 02.02.2012 Décision / 2012 / 93</w:t>
      </w:r>
    </w:p>
    <w:p>
      <w:r>
        <w:t>SÉQUESTRE{MESURE PROVISIONNELLE} | 263 CPP (CH), 393 al. 1 let. a CPP (CH)</w:t>
      </w:r>
    </w:p>
    <w:p>
      <w:r>
        <w:t>TRIBUNAL CANTONAL 32 PE11.019399-MYO CHAMBRE DES RECOURS PENALE __________________________________________ Séance du 2 février 2012 __________________ Présidence de               M. Krieger , président Juges :              Mmes Epard et Byrde Greffière :              Mme Mirus ***** Art. 241 ss, 263 al. 1, 393 al. 1 let. a CPP Vu l' enquête n° PE11.019399-MYO instruite par le Ministère public de l'arrondissement de l'Est vaudois contre C.V.________ pour meurtre, subsidiairement exposition, plus subsidiairement omission de prêter secours, d'office et sur plainte de B.V.________ et F.V.________ , vu l'ordonnance du 16 janvier 2012, par laquelle la procureure a ordonné le séquestre en mains de C.V.________ de nombreux objets, pièces ou valeurs, contenus dans des enveloppes, sacs et fourres, vu le recours interjeté le 27 janvier 2012 par C.V.________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C.V.________ est prévenu de meurtre, subsidiairement d'exposition, plus subsidiairement d'omission de prêter secours, qu'en effet, sa mère, avec qui il vivait, est décédée dans des circonstances mystérieuses, que par ordonnance du 16 janvier 2012, la procureure a ordonné le séquestre de toute une série d'objets, de pièces et de valeurs patrimoniales, dont notamment des documents, des clés, un téléphone portable et des ordinateurs, au motif que ceux-ci pourraient être utilisés comme moyens de preuves (art. 263 al. 1 let. a CPP) et être confisqués (art. 263 al. 1 let. d CPP), que C.V.________ conteste cette décision; attendu que le recourant recourt uniquement pour "violation des règles de perquisition par une personne non autorisée, en l'occur[r]ence Mme [...], greffière", qu'il est vrai, en l'espèce, que le nom de la greffière figure sur l'ordonnance de séquestre, que toutefois, la signature de cette dernière concerne uniquement l'établissement de la notification de la décision, qu'ainsi, contrairement à ce que croit le recourant, la greffière n'a pas procédé à la perquisition, qu'en effet, ladite perquisition a été ordonnée par la procureure (P. 41/1) et effectuée par la police (P. 41/2), que ces autorités sont compétentes en la matière (art. 15, 16 et 241 ss CPP); attendu, pour le surplus, que c'est à bon droit que le Ministère public a ordonné le séquestre litigieux, qu'en effet,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séquestre peut donc notamment avoir pour but d'assurer la protection et la conservation des moyens de preuve (séquestre probatoire),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in: Kuhn/Jeanneret (éd.), Commentaire romand, Code de procédure pénale suisse, Bâle 2011, n. 5 ad art. 263 CPP), qu'en l'espèce, compte tenu du mystère planant sur les conditions de vie du recourant et de sa mère, de nombreux éléments doivent être examinés, que par conséquent, le séquestre probatoire paraît bien fondé; attendu, en définitive, que le recours est rejeté et l'ordonnance confirmée, que les frais de la procédure de recours, constitués en l'espèce de l'émolument du présent arrêt (art. 422 al. 1 CPP),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330 fr. (trois cent trente francs), sont mis à la charge de C.V.________. IV. Déclare la présente décision exécutoire. Le président :               La greffière : Du L'arrêt qui précède, dont la rédaction a été approuvée à huis clos, est notifié, par l'envoi d'une copie complète, à : - M. C.V.________, - Ministère public central; et communiqué à : ‑ M. Jean Lob, avocat (pour C.V.________),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