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899 vom 22. Oktober 2012</w:t>
      </w:r>
    </w:p>
    <w:p>
      <w:r>
        <w:t>VD Tribunal cantonal, 2012-10-22, FR</w:t>
      </w:r>
    </w:p>
    <w:p>
      <w:r>
        <w:rPr>
          <w:b/>
        </w:rPr>
        <w:t xml:space="preserve">Quelle: </w:t>
      </w:r>
      <w:r>
        <w:t>https://mcp.opencaselaw.ch/entscheid/vd_findinfo_D_cision___2012___899</w:t>
      </w:r>
    </w:p>
    <w:p>
      <w:r>
        <w:t>FR: VD_FINDINFO Décision / 2012 / 899 du 22 octobre 2012</w:t>
      </w:r>
    </w:p>
    <w:p>
      <w:r>
        <w:t>IT: VD_FINDINFO Décision / 2012 / 899 del 22 ottobre 2012</w:t>
      </w:r>
    </w:p>
    <w:p>
      <w:pPr>
        <w:pStyle w:val="Heading2"/>
      </w:pPr>
      <w:r>
        <w:t>Regeste</w:t>
      </w:r>
    </w:p>
    <w:p>
      <w:r>
        <w:t>PLAINTE PÉNALE, CLASSEMENT DE LA PROCÉDURE, PRESCRIPTION | 158 CP, 173 CP, 31 CP, 23 LCD, 385 CPP (CH)</w:t>
      </w:r>
    </w:p>
    <w:p>
      <w:pPr>
        <w:pStyle w:val="Heading2"/>
      </w:pPr>
      <w:r>
        <w:t>Erwägungen</w:t>
      </w:r>
    </w:p>
    <w:p>
      <w:r>
        <w:rPr>
          <w:b/>
        </w:rPr>
        <w:t>E. 1</w:t>
      </w:r>
    </w:p>
    <w:p>
      <w:r>
        <w:t>Aux termes de l'art. 396 al. 1 CPP,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(art. 385 al. 2 CPP).</w:t>
      </w:r>
    </w:p>
    <w:p>
      <w:r>
        <w:rPr>
          <w:b/>
        </w:rPr>
        <w:t>E. 2</w:t>
      </w:r>
    </w:p>
    <w:p>
      <w:r>
        <w:t>En l'espèce, la plaignante a recouru en temps utile devant l'autorité compétente contre l'ordonnance de classement du 2 juillet 2012. Il reste à déterminer si la motivation du recours est suffisante au regard de l'art. 385 CPP. A cet égard, il sied de relever que les multiples courriers (P. 23 et ss), déposés spontanément après l'échéance du délai de l'art. 385 al. 1 CPP fixé au 16 août 2012, sont irrecevables. Pour le surplus, le recours et son complément du 16 août 2012 sont extrêmement confus et la recourante n'indique jamais de façon claire et précise les points de la décision qu'elle attaque, ni les motifs qui commanderaient une nouvelle décision, se contentant de répéter le récit des mésaventures survenues en relation avec sa propriété. Toutefois, la question de la recevabilité du recours peut rester ouverte, dès lors qu'il doit être rejeté pour les motifs exposés ci-dessous.</w:t>
      </w:r>
    </w:p>
    <w:p>
      <w:r>
        <w:rPr>
          <w:b/>
        </w:rPr>
        <w:t>E. 3</w:t>
      </w:r>
    </w:p>
    <w:p>
      <w:r>
        <w:t>L'art. 319 al. 1 CPP permet au Ministère public d'ordonner le classement de tout ou partie de la procédure notamment lorsque aucun soupçon justifiant une mise en accusation n’est établi (let. a), lorsque les éléments constitutifs d’une infraction ne sont pas réunis (let. b) ou lorsque des faits justificatifs empêchent de retenir une infraction contre le prévenu (let. c).</w:t>
      </w:r>
    </w:p>
    <w:p>
      <w:r>
        <w:rPr>
          <w:b/>
        </w:rPr>
        <w:t>E. 4</w:t>
      </w:r>
    </w:p>
    <w:p>
      <w:r>
        <w:t>a) En premier lieu, et comme l'a relevé à juste titre le Procureur, la plainte de X.________, déposée le 18 avril 2011, était tardive concernant les infractions de diffamation et de concurrence déloyale. En effet, les infractions de diffamation (art. 173 CP [Code pénal suisse du 21 décembre 1937; RS 311.0]) et de concurrence déloyale (art. 23 LCD [Loi sur la concurrence déloyale du 19 décembre 1986; RS 241]) ne se poursuivent que sur plainte et le droit de porter plainte se prescrit par trois mois, le délai courant du jour où l’ayant droit a connu l’auteur de l’infraction (art. 31 CP). En l'espèce, il ressort du dossier que la recourante a connaissance de l'auteur des faits qu'elle lui reproche depuis le 24 mars 2010 à tout le moins (P. 24/1). Par surabondance, elle a admis qu'après 2010, elle n'avait plus subi que "les traces" des propos prétendument diffamatoires tenus par K.________ à son égard, sans nouvelles infractions (PV d'audience de conciliation, lignes 21-23). Enfin, on relèvera que la vente de la propriété est intervenue à la fin de l'année 2010, mettant fin au mobile potentiel de l'infraction de concurrence déloyale au plus tard à cette date. La plainte, déposée le 18 avril 2011, est donc manifestement tardive et la décision du Procureur ne souffre d'aucune critique en tant qu'elle ordonne le classement de la poursuite concernant les infractions de diffamation et de concurrence déloyale. b) S'agissant de l'infraction de gestion déloyale, l'art. 158 CP prévoit que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Cette infraction suppose un devoir de gestion entre les parties. Un tel devoir est toutefois inexistant entre la locataire et la propriétaire d'un bien immobilier et la recourante n'a pas rendu vraisemblable que K.________ ait pu être garante d'un tel devoir en vertu d'un autre contrat. Dès lors, l'un des éléments constitutifs de l'infraction n'est manifestement pas réalisé et la décision de classement doit également être confirmée concernant l'infraction de gestion déloyale.</w:t>
      </w:r>
    </w:p>
    <w:p>
      <w:r>
        <w:rPr>
          <w:b/>
        </w:rPr>
        <w:t>E. 5</w:t>
      </w:r>
    </w:p>
    <w:p>
      <w:r>
        <w:t>Il résulte de ce qui précède que le recours, manifestement mal fondé, doit être rejeté dans la mesure de sa recevabilité sans autres échanges d’écritures (art. 390 al. 2 CPP). Les frais de la procédure de recours, constitués en l’espèce du seul émolument d'arrêt (art. 422 al. 1 CPP), par 550 fr. (art. 20 al. 1 TFJP [tarif des frais judiciaires pénaux; RSV 312.03.1]), sont donc mis à la charge de la recourante, qui succombe (art. 428 al. 1 CPP). Par ces motifs, la Chambre des recours pénale, statuant à huis clos, prononce : I. Le recours est rejeté dans la mesure où il est recevable. II. L'ordonnance est confirmée. III. Les frais du présent arrêt, par 550 fr. (cinq cent cinquante francs), sont mis à la charge de X.________. IV. L'arrêt est exécutoire. Le président:               La greffière : Du L'arrêt qui précède, dont la rédaction a été approuvée à huis clos, est notifié, par l'envoi d'une copie complète, à : - Mme X.________, - Mme K.________, - M. Gwenaël Ponsart, avocat,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