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893 vom 26. Oktober 2012</w:t>
      </w:r>
    </w:p>
    <w:p>
      <w:r>
        <w:t>VD Tribunal cantonal, 2012-10-26, FR</w:t>
      </w:r>
    </w:p>
    <w:p>
      <w:r>
        <w:rPr>
          <w:b/>
        </w:rPr>
        <w:t xml:space="preserve">Quelle: </w:t>
      </w:r>
      <w:r>
        <w:t>https://mcp.opencaselaw.ch/entscheid/vd_findinfo_D_cision___2012___893</w:t>
      </w:r>
    </w:p>
    <w:p>
      <w:r>
        <w:t>FR: VD_FINDINFO Décision / 2012 / 893 du 26 octobre 2012</w:t>
      </w:r>
    </w:p>
    <w:p>
      <w:r>
        <w:t>IT: VD_FINDINFO Décision / 2012 / 893 del 26 ottobre 2012</w:t>
      </w:r>
    </w:p>
    <w:p>
      <w:pPr>
        <w:pStyle w:val="Heading2"/>
      </w:pPr>
      <w:r>
        <w:t>Regeste</w:t>
      </w:r>
    </w:p>
    <w:p>
      <w:r>
        <w:t>DÉTENTION PRÉVENTIVE, RISQUE DE FUITE | 221 al. 1 let. a CPP (CH), 315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b) Bien que le recourant ne le conteste pas formellement, il y a lieu de constater, avec le Tribunal des mesures de contrainte, qu'il existe des indices suffisant de sa culpabilité au sens de l'art. 221 al. 1 CPP. Le dossier remis par le procureur, notamment le profil ADN du recourant décelé sur l'une des casquettes utilisées durant le brigandage et qui a été retrouvée à proximité des lieux du délit, permet en effet de conclure qu'il existe une présomption suffisamment sérieuse de la culpabilité de D.________ .</w:t>
      </w:r>
    </w:p>
    <w:p>
      <w:r>
        <w:rPr>
          <w:b/>
        </w:rPr>
        <w:t>E. 3</w:t>
      </w:r>
    </w:p>
    <w:p>
      <w:r>
        <w:t>Le recourant fait valoir que son extradition en Suisse serait illégale. A l'appui de cette affirmation, il invoque une requête de mesures provisoires aux fins de suspension de la procédure d'extradition qu'il avait déposée le 1 er octobre 2012 auprès de la Cour européenne des droits de l'homme ainsi qu'un mémoire ampliatif qu'il avait adressé le même jour à la Chambre criminelle de la Cour de cassation de Paris. Il reconnaît toutefois lui-même que le Décret d'extradition rendu par le Conseil d'Etat de la République française le 23 février 2009 est définitif. A ce stade de la procédure, le recourant n'établit pas qu'une autorité française serait revenue sur cette décision, ou aurait admis les mesures provisoires prétendument requises. Son extradition démontre a contrario que les autorités françaises ont jugé cette décision exécutoire. Ce moyen, mal fondé, doit être rejeté.</w:t>
      </w:r>
    </w:p>
    <w:p>
      <w:r>
        <w:rPr>
          <w:b/>
        </w:rPr>
        <w:t>E. 4</w:t>
      </w:r>
    </w:p>
    <w:p>
      <w:r>
        <w:t>Dans un second moyen, le recourant fait valoir que l'ordonnance de non-lieu du 30 septembre 2009 aurait autorité de chose jugée. Il ajoute que pour reprendre l'instruction, le Procureur aurait faussement appliqué l'art. 315 CPP en lieu et place de l'art. 323 CPP, lequel ouvre des voies de recours. Selon lui, la procédure serait donc viciée. a) L'art. 315 CPP dispose que le ministère public reprend d'office une instruction suspendue lorsque le motif de la suspension a disparu (al. 1). La reprise de l'instruction n'est pas sujette à recours (al. 2). Aux termes de l'art. 323 al. 1 CPP, le ministère public ordonne la reprise d'une procédure préliminaire close par une ordonnance de classement entrée en force s'il a connaissance de nouveaux moyens de preuves ou de faits nouveaux qui remplissent les conditions suivantes : ils révèlent une responsabilité pénale du prévenu (let. a); ils ne ressortent pas du dossier antérieur (let. b). Le ministère public notifie la reprise de la procédure aux personnes et aux autorités auxquelles l'ordonnance de classement a été notifiée (al. 2). b) Le recourant perd de vue que l'ordonnance du 30 septembre 2009 équivalait matériellement à une ordonnance de suspension au sens de l'art. 314 al. 1 let. a CPP. En effet, sous l'empire du CPP-VD, une enquête close par un arrêt ou une ordonnance de non-lieu pouvait être réouverte dans le cas où elle avait été instruite en l'absence du prévenu et que celui-ci était arrêté ou se mettait à disposition du juge (art. 309 let. b CPP-VD); dans cette hypothèse, l'ordonnance de non-lieu – motivée ni en fait ni en droit (Wermelinger, L'autorité des décisions de clôture d'enquête en procédure pénale vaudoise, thèse Lausanne 1988, p. 108) - n'avait pas un caractère définitif, mais provisoire (ibid. , pp. 77-81). Or, en l'occurrence, l'ordonnance de non-lieu mentionne expressément que D.________ est incarcéré en France, qu'il a été inculpé de brigandage qualifié, que son extradition a été accordée par décret du 23 février 2009, que sa remise à la Suisse n'interviendra toutefois pas, sauf aménagement de peine, avant le 20 janvier 2013, et "qu'il se justifie par conséquent de mettre un terme provisoire à la procédure et de la reprendre le moment venu". Il ressort ainsi clairement des motifs de cette décision que celle-ci avait un caractère provisoire de sorte que la reprise d'instruction selon l'art. 315 CPP était justifiée. Le grief, mal fondé, doit être rejeté.</w:t>
      </w:r>
    </w:p>
    <w:p>
      <w:r>
        <w:rPr>
          <w:b/>
        </w:rPr>
        <w:t>E. 5</w:t>
      </w:r>
    </w:p>
    <w:p>
      <w:r>
        <w:t>Le recourant fait enfin valoir l'absence de risque de fuite, dans la mesure où la peine qui lui serait infligée en cas de condamnation serait complémentaire à celle prononcée le 15 janvier 2009 par la Cour d'appel de Lyon, et que son comparse a été condamné à une peine privative de liberté de trois ans. Ainsi, selon lui, la peine complémentaire devrait être de très courte durée, voire nulle. a) Aux termes de l’art. 221 al. 1 let. a CPP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in Kuhn/Jeanneret (éd.), Commentaire romand, Code de procédure pénale suisse, Bâle 2011, n. 12 ad art. 221 CPP et les références citées; cf. Forster, in Niggli/Heer/Wiprächtiger (éd.), Basler Kommentar, Schweizerische Strafprozessordnung, Bâle 2011, n. 5 ad art. 221 CPP) –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ATF 117 Ia 69 c. 4a et les arrêts cités; TF 1B_374/2011 du 3 août 2011 c. 3.1;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Schmocker, op. cit., n. 12 ad art. 221 CPP; TF 1B_374/2011 du 3 août 2011 c. 3.1 ; TF 1B_422/2010 du 11 janvier 2011 c. 2.1). b) L'art. 212 al. 3 CPP dispose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c) En l’espèce, les lourds antécédents pénaux de D.________ démontrent qu'il s'agit d'un délinquant endurci (P. 99 et 101; PV des opérations p. 6, mentions des 23 décembre 2008 et 20 janvier 2009; P. 114/1; P. 123 pp. 1, 2, 17 et 18), qui a notamment été condamné le 15 janvier 2009 par la Cour d'appel de Lyon pour tentative d'évasion en bande. Il n'a en outre aucune attache avec la Suisse. Compte tenu des charges qui pèsent contre lui, et en dépit du caractère complémentaire de la peine qu'il encourt, il y a dès lors sérieusement lieu de craindre que le recourant se soustraie à la procédure pénale ou à la sanction prévisible en prenant la fuite, aucune mesure de substitution au sens de l'art. 237 CPP – que ce soit en particulier la saisie de ses documents d'identité ou le versement d'une caution (TF 1B_ 576/2012 du 19 octobre 2012, consid. 5) - n'étant à même de pallier ce risque. S'agissant du principe de la proportionnalité, le recourant a été appréhendé le 16 octobre 2012, soit depuis moins de vingt jours. Il faut ajouter à cette durée celle de la détention en vue de l'extradition (art. 110 al. 7 CP), qui pourrait avoir débuté le 20 juillet 2012 si l'on en croit les pièces figurant au dossier du Tribunal des mesures de contrainte. Dans ces conditions, la durée de la peine à laquelle le recourant est exposé concrètement en cas de condamnation excède la durée de la détention provisoire. Le principe de proportionnalité est dès lors respecté.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due au défenseur d'office de D.________ est fixée à 583 fr. 20 (cinq cent huitante trois francs et vingt centimes). IV. Les frais d'arrêt, par 880 fr. (huit cent huitante francs), ainsi que l'indemnité due au défenseur d'office de D.________, par 583 fr. 20 (cinq cent huitante trois francs et vingt centimes), sont mis à la charge de ce dernier. V. Le remboursement à l’Etat de l’indemnité allouée au chiffre III ci-dessus sera exigible pour autant que la situation économique du recourant se soit améliorée. VI. Le présent arrêt est exécutoire. La vice-présidente : La greffière : Du L'arrêt qui précède, dont la rédaction a été approuvée à huis clos, est notifié, par l'envoi d'une copie complète, à : - Me Julien Gafner, avocat (pour D.________),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