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 vom 9. März 2011</w:t>
      </w:r>
    </w:p>
    <w:p>
      <w:r>
        <w:t>VD Tribunal cantonal, 2011-03-09, FR</w:t>
      </w:r>
    </w:p>
    <w:p>
      <w:r>
        <w:rPr>
          <w:b/>
        </w:rPr>
        <w:t xml:space="preserve">Quelle: </w:t>
      </w:r>
      <w:r>
        <w:t>https://mcp.opencaselaw.ch/entscheid/vd_findinfo_D_cision___2012___81</w:t>
      </w:r>
    </w:p>
    <w:p>
      <w:r>
        <w:t>FR: VD_FINDINFO Décision / 2012 / 81 du 9 mars 2011</w:t>
      </w:r>
    </w:p>
    <w:p>
      <w:r>
        <w:t>IT: VD_FINDINFO Décision / 2012 / 81 del 9 marzo 2011</w:t>
      </w:r>
    </w:p>
    <w:p>
      <w:pPr>
        <w:pStyle w:val="Heading2"/>
      </w:pPr>
      <w:r>
        <w:t>Regeste</w:t>
      </w:r>
    </w:p>
    <w:p>
      <w:r>
        <w:t>AVOCAT D'OFFICE, INDEMNITÉ{EN GÉNÉRAL} | 134 CPP (CH), 135 al. 3 let. a CPP (CH), 395 let. b CPP (CH)</w:t>
      </w:r>
    </w:p>
    <w:p>
      <w:pPr>
        <w:pStyle w:val="Heading2"/>
      </w:pPr>
      <w:r>
        <w:t>Erwägungen</w:t>
      </w:r>
    </w:p>
    <w:p>
      <w:r>
        <w:rPr>
          <w:b/>
        </w:rPr>
        <w:t>E. 1</w:t>
      </w:r>
    </w:p>
    <w:p>
      <w:r>
        <w:t>et al. 2 let. a CPP), fixés à 360 fr., plus la TVA, par 28 fr. 80, soit un total de 388 fr. 80, sont laissés à la charge de l'Etat (art. 428 al. 1 CPP). Par ces motifs, la Juge de la Chambre des recours pénale, statuant à huis clos, prononce : I. Le recours est admis. II. La décision du 19 décembre 2011 est modifiée en ce sens que l'indemnité versée à Me N.________, pour son activité de défenseur d'office de K.________, est fixée à 2'970 fr. (deux mille neuf cent septante francs). III. L'indemnité allouée au défenseur d'office de K.________ est fixée à 388 fr. 80 (trois cent huitante-huit francs et huitante centimes). IV. Les frais de la procédure de recours, par 540 fr. (cinq cent quarante francs), ainsi que l'indemnité allouée au défenseur d'office de K.________, par 388 fr. 80 (trois cent huitante-huit francs et huitante centimes), sont laissés à la charge de l'Etat. V. L'arrêt est exécutoire. La Juge :               Le greffier : Du L'arrêt qui précède, dont la rédaction a été approuvée à huis clos, est notifié, par l'envoi d'une copie complète, à : - M. N.________, avocat, - M.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