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801 vom 27. Februar 2010</w:t>
      </w:r>
    </w:p>
    <w:p>
      <w:r>
        <w:t>VD Tribunal cantonal, 2010-02-27, FR</w:t>
      </w:r>
    </w:p>
    <w:p>
      <w:r>
        <w:rPr>
          <w:b/>
        </w:rPr>
        <w:t xml:space="preserve">Quelle: </w:t>
      </w:r>
      <w:r>
        <w:t>https://mcp.opencaselaw.ch/entscheid/vd_findinfo_D_cision___2012___801</w:t>
      </w:r>
    </w:p>
    <w:p>
      <w:r>
        <w:t>FR: VD_FINDINFO Décision / 2012 / 801 du 27 février 2010</w:t>
      </w:r>
    </w:p>
    <w:p>
      <w:r>
        <w:t>IT: VD_FINDINFO Décision / 2012 / 801 del 27 febbraio 2010</w:t>
      </w:r>
    </w:p>
    <w:p>
      <w:pPr>
        <w:pStyle w:val="Heading2"/>
      </w:pPr>
      <w:r>
        <w:t>Regeste</w:t>
      </w:r>
    </w:p>
    <w:p>
      <w:r>
        <w:t>NON-LIEU, DISPROPORTION, USURE{DROIT PÉNAL} | 157 CP, 319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a) Selon l'art. 319 al. 1 CPP, le ministère public ordonne le classement de tout ou partie de la procédure lorsque 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Au stade de la mise en accusation, le principe «in dubio pro reo», relatif à l'appréciation des preuves par l'autorité de jugement – qui veut que lorsque subsistent des doutes insurmontables quant aux éléments factuels justifiant une condamnation, le tribunal se fonde sur l’état de fait le plus favorable au prévenu (art. 10 al. 3 CPP) – ne s'applique donc pas. C'est au contraire la maxime «in dubio pro duriore» qui impose, en cas de doute, une mise en accusation (ATF 138 IV 86 c. 4.1.1; Message du Conseil fédéral précité, FF 2006 pp. 1057 ss, spéc. 1255 s.; Grädel/Heiniger, in: Niggli/Heer/Wiprächtiger (éd.), Basler Kommentar, Schweizerische Strafprozessordnung, Jugendstrafprozessordnung, Bâle 2011, n. 8 ad art. 319 CPP; Roth, in: Kuhn/Jeanneret (éd.), Commentaire romand, Code de procédure pénale suisse, Bâle 2011, n. 5 ad art. 319 CPP). Ce principe vaut également pour l'autorité judiciaire chargée de l'examen d'une décision de classement (ATF 138 IV 86 c. 4.1.1; TF 1B_272/2011 du 22 mars 2012 c. 3.1.1; TF 6B_588/2007 du 11 avril 2008 c. 3.2.3, publié in Praxis 2008 n° 123).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Se rend coupable d'usure au sens de l'art. 157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b)               Cette infraction suppose ainsi plusieurs conditions, soit l'obtention d'un avantage pécuniaire, la disproportion avec la prestation échangée, une situation de faiblesse, un rapport de causalité entre la situation de faiblesse et la disproportion des prestations et l'intention de l'auteur. Concernant l 'avantage pécuniaire obtenu, celui-ci doit être en disproportion évidente, sur le plan économique, avec la prestation fournie. L'évaluation doit être objective (cf. Corboz, Les infractions en droit suisse, vol. II, Berne 2010, n. 31 s. ad art. 157 CP; ATF 130 IV 106 c. 7.2) et la disproportion doit excéder sensiblement les limites de ce qui apparaît usuel et normal en regard de toutes les circonstances (ATF 92 IV 132 c. 1).</w:t>
      </w:r>
    </w:p>
    <w:p>
      <w:r>
        <w:rPr>
          <w:b/>
        </w:rPr>
        <w:t>E. 4</w:t>
      </w:r>
    </w:p>
    <w:p>
      <w:r>
        <w:t>a) Dans son ordonnance du 8 mai 2012, le Procureur a retenu que l'usure n'était réalisée ni sur le plan subjectif – puisque X.I.________ avait pu prouver qu'il avait entrepris des démarches sérieuses en vue de permettre à U.________ SA de vendre les immeubles dont elle était propriétaire à des tiers avant la cession des actions de cette société à B.I.________ – ni sur le plan objectif, puisque la disproportion n'était pas établie. b) En premier lieu, précisons qu'il n'y a pas lieu de réexaminer la condition de la faiblesse mentale qui a été considérée comme réalisée – à tout le moins par dol éventuel – par le Tribunal d'accusation dans son arrêt du 14 février 2011, et qui n'est pas remise en question par les éléments issus du complément d'instruction. Sur ce point, la Cour de céans se réfère donc intégralement à l'appréciation effectuée dans l'arrêt du 14 février 2011. c) Il convient d'examiner les démarches effectuées par X.I.________ en vue de vendre la société à un tiers. Dans le cadre du complément d'instruction, le prévenu a été invité à fournir l'identité et les coordonnées des acquéreurs potentiels qu'il avait contactés, ainsi que les dates de ces contacts, les documents prouvant la réalité de ses démarches et les coordonnées de tous autres témoins pouvant attester ces démarches (P. 86). Pour toute réponse, le prévenu a fourni les noms de cinq témoins ainsi que la copie d'un courrier de Me N.________ – qui semblait articuler une proposition de reprise sérieuse (P. 87/1) – mais à laquelle on ignore si X.I.________ a donné suite. Pour le surplus, le prévenu n'a produit aucun dossier de vente, ni copies d'écrits comportant l'indication d'un prix de vente, ni même encore la preuve d'offres de vente concrètes qu'il aurait effectuées, exposant qu'il n'avait "pas […] conservé les courriers qu'il avait pu adresser à des tiers dans le but de sauvegarder les intérêts de Z.________ notamment dans le cadre de recherches d'acquéreurs pour la société U.________ SA" (P. 87). Les seuls moyens de preuve proposés sont donc les dépositions des cinq témoins. Or, celles-ci ne permettent pas d'établir la réalité des démarches prétendument entreprises par X.I.________. En effet, les informations qui ressortent de ces témoignages sont floues et aucun des témoins n'a été en mesure d'affirmer que X.I.________ avait effectué des démarches concrètes pour trouver des repreneurs. A cet égard, on soulignera en particulier que c'est à tort que le Procureur a retenu que [...] avait "confirmé que le prévenu avait cherché des repreneurs pour la société du plaignant ". En effet, il ressort de l'audition de ce témoin que des investisseurs neuchâtelois – dont on ignore tout, à commencer par leur nom, la société qu'ils représentaient ou encore les raisons pour lesquelles ils se sont intéressés à la société U.________ SA – auraient pris contact, en 2004, avec la fiduciaire pour laquelle il travaillait et qui était également mandaté par U.________ SA, mais que ceux-ci auraient été découragés par le prix de vente. Le témoin n'a toutefois pas indiqué quel rôle avait tenu le prévenu dans les négociations avec ces potentiels repreneurs, ni quel était le prix de vente proposé. Pour le surplus, le témoin a indiqué qu'il n'avait pas connaissance d'autres démarches qu'aurait entreprises X.I.________ en vue de trouver des repreneurs (PV aud. 12, lignes 46 ss). Quant aux quatre autres témoignages recueillis dans le cadre du complément d'instruction, ils ne permettent pas non plus d'établir que le prévenu a entrepris des démarches concrètes auprès de tiers en vue de vendre la société (PV aud. 13 ligne 126; PV aud. 14 ligne 55; PV aud. 15 lignes 40-42; P. 99 R. 3). Enfin, on soulignera que, selon les déclarations d'[...], employé au service contentieux de V.________ à l'époque des faits, les négociations qui ont eu lieu entre X.I.________ et V.________ ont essentiellement porté sur le maintien des crédits hypothécaires et non sur des démarches en vue d'une reprise de la société par d'autres personnes que B.I.________, laquelle apparaissait alors comme seule repreneur présentée et acceptable par V.________ (PV aud. 15 lignes 48-52). Enfin, les pièces produites par V.________ (P. 104 et ss) n'apportent pas de renseignements susceptibles d'accréditer la version des faits du prévenu. d) En définitive, les déclarations des parties sont contradictoires et les éléments au dossier ne permettent pas d'affirmer que le prévenu a réellement entrepris des démarches sérieuses en vue de permettre à U.________ SA de vendre à des tiers les immeubles dont elle était propriétaire avant la cession des actions de cette société à B.I.________. Au vu de ces éléments, il apparaît que la condition de la disproportion pourrait donc être réalisée en l'espèce et il n'appartient pas au Procureur, à ce stade de la procédure, d'apprécier les preuves contradictoires. En vertu du principe "in dubio pro duriore", la procédure doit donc se poursuivre. La décision de classement doit ainsi être annulée et la cause renvoyée au Procureur pour nouvelle décision.</w:t>
      </w:r>
    </w:p>
    <w:p>
      <w:r>
        <w:rPr>
          <w:b/>
        </w:rPr>
        <w:t>E. 5</w:t>
      </w:r>
    </w:p>
    <w:p>
      <w:r>
        <w:t>Les frais de la procédure de recours, constitués en l'espèce de l'émolument du présent arrêt, par 990 fr. (art. 20 al. 1 TFJP [Tarif des frais judiciaires pénaux du 28 septembre 2010; RSV 312.03.1]), ainsi que des frais imputables à la défense d’office de X.I.________, arrêtés à 777 fr. 60, TVA comprise, sont mis par moitié à la charge de X.I.________, qui a conclu au rejet du recours (art. 428 al. 1 CPP; cf. art. 422 al. 2 CPP), le solde étant laissé à la charge de l'Etat (art. 428 al. 4 CPP). Le remboursement à l’Etat de la moitié de l'indemnité allouée au défenseur d’office et mise à la charge de X.I.________ ne sera toutefois exigible que pour autant que la situation économique de ce dernier se soit améliorée (art. 135 al. 4 CPP). Par ces motifs, la Chambre des recours pénale, statuant à huis clos prononce : I. Le recours est admis. II. L'ordonnance est annulée et la cause est renvoyée au Ministère public central, division entraide, criminalité économique et informatique, pour qu'il rende une nouvelle décision. III. L'indemnité allouée au défenseur d'office de X.I.________ dans le cadre de la procédure de recours est fixée à 777 fr. 60 (sept cent septante-sept francs et soixante centimes). IV. Les frais d'arrêt, par 990 fr. (neuf cent nonante francs), ainsi que l'indemnité allouée sous chiffre III, par 777 fr. 60 (sept cent septante-sept francs et soixante centimes), sont mis à la charge de X.I.________ à concurrence de la moitié, soit 883 fr. 80 (huit cent huitante-trois francs et huitante centimes), le solde étant laissé à la charge de l'Etat. V. Le remboursement à l'Etat de la moitié de l'indemnité allouée au chiffre IV et mise à la charge de X.I.________, soit 388 fr. 80 (trois cent huitante-huit francs et huitante centimes), sera exigible pour autant que la situation économique de celui-ci se soit améliorée. VI. L'arrêt est exécutoire. Le président :               La greffière : Du L'arrêt qui précède, dont la rédaction a été approuvée à huis clos, est notifié, par l'envoi d'une copie complète, à : - M. Christian Tamisier, avocat (pour Z.________) - M. Eric Ramel, avocat (pour B.I.________) - M. Olivier Boschetti, avocat (pour X.I.________)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