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788 vom 11. Juni 2012</w:t>
      </w:r>
    </w:p>
    <w:p>
      <w:r>
        <w:t>VD Tribunal cantonal, 2012-06-11, FR</w:t>
      </w:r>
    </w:p>
    <w:p>
      <w:r>
        <w:rPr>
          <w:b/>
        </w:rPr>
        <w:t xml:space="preserve">Quelle: </w:t>
      </w:r>
      <w:r>
        <w:t>https://mcp.opencaselaw.ch/entscheid/vd_findinfo_D_cision___2012___788</w:t>
      </w:r>
    </w:p>
    <w:p>
      <w:r>
        <w:t>FR: VD_FINDINFO Décision / 2012 / 788 du 11 juin 2012</w:t>
      </w:r>
    </w:p>
    <w:p>
      <w:r>
        <w:t>IT: VD_FINDINFO Décision / 2012 / 788 del 11 giugno 2012</w:t>
      </w:r>
    </w:p>
    <w:p>
      <w:pPr>
        <w:pStyle w:val="Heading2"/>
      </w:pPr>
      <w:r>
        <w:t>Regeste</w:t>
      </w:r>
    </w:p>
    <w:p>
      <w:r>
        <w:t>DÉTENTION PRÉVENTIVE, PROPORTIONNALITÉ, RISQUE DE FUITE | 212 al. 3 CPP (CH), 221 al. 1 let. a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La détention provisoire et la détention pour des motifs de sûreté doivent être levées dès que des mesures de substitution (cf.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Par ailleurs, selon la jurisprudence constante du Tribunal fédéral, la perspective de l’octroi du sursis ou d’une libération conditionnelle n’a pas à être prise en compte pour juger de la proportionnalité de la détention provisoire, sauf circonstances particulières qui imposeraient exceptionnellement une solution différente (ATF 133 I 270 c. 3.4.2; ATF 125 I 60 c. 3d; TF 1B_82/2008 du 7 avril 2008; TF 1B_79/2012 du 22 février 2012 c. 6; TF 1B_361/2012 du 28 juin 2012 c. 4.2). c) En l’espèce, le recourant conteste d’abord l’existence d’un risque de fuite (recours, p. 3). Toutefois, comme le retient à juste titre l’ordonnance attaquée, la présence d’un frère et d’un oncle sur sol helvétique ne permet pas d’empêcher que le prévenu ne retourne dans la clandestinité à sa sortie de détention et qu’il ne se dérobe ainsi aux besoins de la justice. Les mesures de substitution proposées par le recourant sous la forme d’une obligation de se présenter régulièrement à un service administratif (art. 237 al. 2 let. d CPP), voire l’assignation à résidence au domicile de son cousin avec une surveillance par bracelet électronique (art. 237 al. 2 let. c et al. 3 CPP), ne sont pas de nature à empêcher concrètement le recourant de fuir vers le Kosovo. d) Le recourant conteste également la proportionnalité de la détention provisoire (recours, p. 4), en faisant valoir que les faits qui lui sont reprochés seraient de moindre gravité, seule une tentative inachevée de vol pouvant être retenue (cf. recours, p. 3), et qu’il remplirait les conditions du délinquant primaire à qui une exécution de peine avec sursis pourrait être octroyée. Toutefois, si le recourant n’admet que la tentative de cambriolage pour laquelle il a été pris en flagrant délit avec deux complices en possession d’un pied-de-biche et d’une meule à disque, il existe à ce stade des indices permettant de le soupçonner fortement d’être impliqué dans plusieurs autres cambriolages (cf. PV aud. 10 ad D. 9, D. 13 et D. 17). La proportionnalité de la détention provisoire apparaît ainsi encore respectée, et l’octroi d’un éventuel sursis n’a pas à être pris en considération dans ce cadre (cf. c. 2b supra), étant relevé que les délinquants ne peuvent pas s’attendre systématiquement à bénéficier de l’octroi du sursis en cas de première condamnation (cf. Dupuis/Geller/Monnier/Moreillon /Piguet/Bettex/Stoll (éd.), Petit commentaire du code pénal, Bâle 2012, n. 26 ad art. 42 CP).</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550 fr. (art. 20 al. 1 TFJP [tarif des frais judiciaires pénaux; RSV 312.03.1]) et des frais imputables à la défense d’office (art. 422 al. 1 et 2 let. a CPP), fixés à 360 fr. plus la TVA par 28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388 fr. 80 (trois cent huitante-huit francs et huitante centimes). IV. Les frais d'arrêt, par 550 fr. (cinq cent cinquante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Mme Anne-Rebecca Bula, avocate (pour O.________),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