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776 vom 28. August 2012</w:t>
      </w:r>
    </w:p>
    <w:p>
      <w:r>
        <w:t>VD Tribunal cantonal, 2012-08-28, FR</w:t>
      </w:r>
    </w:p>
    <w:p>
      <w:r>
        <w:rPr>
          <w:b/>
        </w:rPr>
        <w:t xml:space="preserve">Quelle: </w:t>
      </w:r>
      <w:r>
        <w:t>https://mcp.opencaselaw.ch/entscheid/vd_findinfo_D_cision___2012___776</w:t>
      </w:r>
    </w:p>
    <w:p>
      <w:r>
        <w:t>FR: VD_FINDINFO Décision / 2012 / 776 du 28 août 2012</w:t>
      </w:r>
    </w:p>
    <w:p>
      <w:r>
        <w:t>IT: VD_FINDINFO Décision / 2012 / 776 del 28 agosto 2012</w:t>
      </w:r>
    </w:p>
    <w:p>
      <w:pPr>
        <w:pStyle w:val="Heading2"/>
      </w:pPr>
      <w:r>
        <w:t>Regeste</w:t>
      </w:r>
    </w:p>
    <w:p>
      <w:r>
        <w:t>CLASSEMENT DE LA PROCÉDURE, DÉCISION D'IRRECEVABILITÉ, OUVERTURE DE LA PROCÉDURE, LEASING | 310 CPP (CH), 393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Dans un premier temps, il y a lieu de relever qu'en date du 19 juin 2012, le Procureur a formellement décidé de l'ouverture d'une instruction pénale contre S.________ (cf. lettre A.f ci-dessus). Or, comme on l'a vu, une ordonnance de non-entrée en matière ne peut être rendue que si aucune instruction n'a été ouverte. Pour ce motif déjà, le Procureur n'était pas autorisé à rendre une ordonnance de non-entrée en matière et celle-ci doit être annulée.</w:t>
      </w:r>
    </w:p>
    <w:p>
      <w:r>
        <w:rPr>
          <w:b/>
        </w:rPr>
        <w:t>E. 4</w:t>
      </w:r>
    </w:p>
    <w:p>
      <w:r>
        <w:t>Par surabondance, sur la seule base des pièces produites par la recourante, il apparaît que la location – ou la sous-location – du véhicule n'était envisagée que pour la durée des démarches nécessaires à la concrétisation du transfert du leasing. Juridiquement, la fin du contrat de sous-location semble donc avoir été soumise à une condition résolutoire (cf. art. 154 CO [Code des obligations suisse du 30 mars 1911; RS 220]), à savoir le transfert effectif du leasing. Or, aux termes de l'art. 156 CO, la condition résolutoire est réputée accomplie quand l’une des parties en a empêché l’avènement au mépris des règles de la bonne foi. Dans le cas d'espèce, S.________ semble n'avoir volontairement entrepris aucune démarche pour opérer le transfert de leasing, tout en continuant à utiliser ledit véhicule. Sans autre élément, ce comportement est assimilable à un acte visant volontairement à empêcher l’avènement de la condition au mépris des règles de la bonne foi, si bien que la convention de sous-location devrait être considérée comme ayant pris fin. Si l'instruction permettait d'établir ces éléments, on devrait alors constater que S.________ se trouve aujourd'hui, sans droit, en possession de la VW Golf dont B.________ est le détenteur légal (cf. P. 7). S.________ pourrait alors notamment être reconnu coupable d'escroquerie – dans l'hypothèse où il savait dès la conclusion de la convention qu'il n'avait pas l'intention de reprendre le contrat de leasing, ni en son nom, ni au nom de son entreprise – ou d'abus de confiance – dans l'hypothèse où il avait bien la volonté d'exécuter le transfert, mais qu'il ne l'a pas fait et qu'il se trouve dès lors sans droit en possession d'un véhicule qu'il refuse de restituer à son détenteur légal. A ce stade de la procédure, c'est donc à tort que le Ministère public a d'emblée exclu que S.________ se soit rendu coupable d'une infraction et a retenu que le litige relevait exclusivement de la justice civile. Aussi, lui appartiendra-t-il de poursuivre l'instruction – qu'il a d'ores et déjà ouverte – et, notamment, de procéder à l'audition de S.________, voire à la confrontation des parties, avant de se livrer, sur la base de ces éléments et des pièces au dossier, à une interprétation de la convention signée le 6 décembre 2011.</w:t>
      </w:r>
    </w:p>
    <w:p>
      <w:r>
        <w:rPr>
          <w:b/>
        </w:rPr>
        <w:t>E. 5</w:t>
      </w:r>
    </w:p>
    <w:p>
      <w:r>
        <w:t>Le recours doit donc être admis et l'ordonnance de non-entrée en matière du 6 juillet 2012 annulée. Le dossier de la cause sera renvoyé au Ministère public de l’arrondissement de l'Est vaudois pour qu'il procède dans le sens des considérants. Les frais d'arrêt, par 770 fr. (art. 20 al. 1 TFJP [tarif des frais judiciaires pénaux du 28 septembre 2010; RSV 312.03.1]), seront laissés à la charge de l'Etat (art. 428 al. 4 CPP). Enfin, concernant les dépens réclamés par la recourante, ils suivent le sort de la cause au fond (art. 433 CPP; Mizel/Rétornaz, in Kuhn/Jeanneret (éd.), op. cit., n. 13 ad art. 433 CPP; CREP 5 juillet 2011/346). Par ces motifs, la Chambre des recours pénale, statuant à huis clos, prononce : I. Le recours est admis. II. L'ordonnance de non-entrée en matière du 6 juillet 2012 est annulée. III. Le dossier de la cause est renvoyé au Ministère public de l’arrondissement de l'Est vaudois pour qu'il procède dans le sens des considérants. IV. Les frais d'arrêt, par 770 fr. (sept cent septante francs), sont laissés à la charge de l'Etat. V. Le présent arrêt est exécutoire. Le président :               La greffière : Du L'arrêt qui précède, dont la rédaction a été approuvée à huis clos, est notifié, par l'envoi d'une copie complète, à : - Mme Gisèle De Benoît-Regamey, avocate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