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769 vom 13. September 2012</w:t>
      </w:r>
    </w:p>
    <w:p>
      <w:r>
        <w:t>VD Tribunal cantonal, 2012-09-13, FR</w:t>
      </w:r>
    </w:p>
    <w:p>
      <w:r>
        <w:rPr>
          <w:b/>
        </w:rPr>
        <w:t xml:space="preserve">Quelle: </w:t>
      </w:r>
      <w:r>
        <w:t>https://mcp.opencaselaw.ch/entscheid/vd_findinfo_D_cision___2012___769</w:t>
      </w:r>
    </w:p>
    <w:p>
      <w:r>
        <w:t>FR: VD_FINDINFO Décision / 2012 / 769 du 13 septembre 2012</w:t>
      </w:r>
    </w:p>
    <w:p>
      <w:r>
        <w:t>IT: VD_FINDINFO Décision / 2012 / 769 del 13 settembre 2012</w:t>
      </w:r>
    </w:p>
    <w:p>
      <w:pPr>
        <w:pStyle w:val="Heading2"/>
      </w:pPr>
      <w:r>
        <w:t>Regeste</w:t>
      </w:r>
    </w:p>
    <w:p>
      <w:r>
        <w:t>DÉTENTION PRÉVENTIVE, RISQUE DE FUITE, RISQUE DE COLLUSION, PROPORTIONNALITÉ | 212 al. 3 CPP (CH),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a) L'art. 212 al. 3 CPP prévoit que la détention provisoire et la détention pour des motifs de sûreté ne doivent pas durer plus longtemps que la peine privative de liberté prévisible.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et 4; TF 1B_182/2011 du 5 mai 2011 c. 4.1; TF 1B_133/2011 du 12 avril 2011).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Pour ce qui est également de la condition de la réitération, il y a lieu de comprendre l'art. 221 al. 1 let c. CPP en ce sens que des crimes ou des délits graves sont à craindre (ATF 137 IV 84). Tel est en particulier le cas s'agissant d'une pluralité de vols avec effraction (cf. Rapport explicatif relatif à l'avant-projet d'un code de procédure pénale suisse, Office fédéral de la justice, Berne, juin 2001, ad art. 234 AP, p. 160; Schmid, Handbuch des schweizerischen Strafrechts, Zurich/St-Gall 2009, n. 1024; CREP, 23 novembre 2011/494, 20 octobre 2011/425,</w:t>
      </w:r>
    </w:p>
    <w:p>
      <w:r>
        <w:rPr>
          <w:b/>
        </w:rPr>
        <w:t>E. 6</w:t>
      </w:r>
    </w:p>
    <w:p>
      <w:r>
        <w:t>juillet 2011/247 et 24 avril 2012/179). 3. a) En l’espèce, l'ordonnance entreprise rejette la demande de libération de la détention provisoire formée par le prévenu le 21 août 2012 aussi bien qu'elle admet la requête de prolongation de ladite détention présentée par le Ministère public le 27 août suivant. Il convient d'examiner en premier lieu les conditions d'application de l'art. 221 CPP. Le recourant ne nie pas l’existence à son détriment de charges suffisantes quant à la première des infractions en cause, soit la tentative de vol avec effraction commise au préjudice du magasin [...], qu'il a avouée. Cela étant, il conteste toute charge suffisante pour les autres infractions faisant l'objet de l'enquête, à savoir pour les multiples vols, tentatives de vol et dommages à la propriétés qui lui sont reprochés à l'instar de ses deux compatriotes arrêtés en sa compagnie en flagrant délit. A tort. En effet, comme l'expose le Ministère public, il est vraisemblable que le prévenu soit impliqué dans tout ou partie de ces 14 autres cambriolages. D'abord, il existe une étroite proximité géographique et temporelle entre la tentative de vol avec effraction avouée et les deux autres cambriolages avec effraction commis à Renens durant la même nuit. Ensuite, une empreinte palmaire retrouvée sur les lieux du premier de ces cambriolages a été attribuée à l'un des acolytes réputés avoir participé au troisième. Ces indices matériels sont en l'état suffisants pour impliquer le recourant dans ces deux autres effractions également. Même en faisant abstraction des douze autres cambriolages ou tentatives de cambriolages imputés au trio par ailleurs, il reste que le prévenu a, dès son arrestation, sans réserve avoué servir d'intermédiaire dans le trafic d'héroïne depuis presque trois mois. A cela s'ajoute qu'il est établi au stade actuel de l'enquête qu'il séjourne illégalement en Suisse, qu'il a craché à quatre reprises au visage des gendarmes l'ayant pris en charge après son arrestation et qu'il a proféré des menaces de mort à leur encontre et à l'encontre de leurs familles. En conclusion, le prévenu est fortement soupçonné au sens de l’art. 221 al. 1 CPP d'avoir commis plusieurs autres infractions que celle qui a fait l'objet d'aveux en l'état. La condition préalable à la détention provisoire posée par la disposition topique est donc réalisée. Le recourant ne conteste pas le risque de fuite au sens de l'art. 221 al. 1 let. a CPP, à juste titre, s'agissant d'un prévenu étranger, en séjour illégal et dépourvu d'attaches en Suisse. Les conditions posées par l'art. 221 CPP étant alternatives, et non cumulatives (Forster, in : Niggli/Heer/Wiprächtiger [éd.], op. cit., n. 4 ad art. 221 CPP, p. 1460), point n'est besoin d'examiner les autres motifs légaux de détention provisoire. Par surabondance, on notera que le risque de réitération est sérieux. Le prévenu doit en effet être tenu pour hautement porté à la délinquance du fait de son séjour illégal en Suisse, de son antécédent pénal récent, ainsi que de son addiction à la cocaïne et à l'héroïne, sans même mentionner sa propension à la violence à tout le moins verbale. L'intéressé paraît même vivre de sa délinquance, comme en témoigne sa récente condamnation pour des infractions contre le patrimoine. Les infractions contre le patrimoine dont la réitération est redoutée en l'espèce, soit les vols avec effraction, compromettent sérieusement la sécurité d’autrui au sens de 221 al. 1 let. c CPP. b) Pour le surplus, sous l'angle de l'art. 212 al. 3 CPP, le recourant conteste la proportionnalité entre la durée de la détention provisoire prolongée et celle de la peine privative de liberté susceptible d'être prononcée, qui plus est vraisemblablement selon lui avec sursis. En l'état de l'enquête, il existe de forts soupçons que le prévenu fasse partie d'une bande organisée active dans les cambriolages et opérant à grande échelle. Il apparaît donc probable que l'instruction soit étendue au chef de vol commis en qualité d’affilié à une bande formée pour commettre des vols au sens de l'art. 139 ch. 3 CP (Code pénal; RS 311.0). Le vol commis avec de telles circonstances aggravantes est passible d’une peine privative de liberté de dix ans au plus ou d’une peine pécuniaire de 180 jours-amende au moins. A ceci s'ajoute le possible concours de l'infraction de vol notamment avec celle de dommages à la propriété, réprimée par l'art. 144 CP, ainsi que la prise en compte d'infractions en matière de stupéfiants et de législation sur les étrangers. Or, la détention préventive n'a débuté que le 6 juin 2012, soit depuis un peu plus de trois mois à la date du présent arrêt. Peu importe que la peine soit éventuellement susceptible d'être assortie du sursis. La proportionnalité apparaît dès lors assurément encore respectée (ATF 133 I 168 c. 4.1; ATF 132 I 21 c. 4.1). c) Enfin, il n'est pas contesté que le seul moyen propre à parer au risque de fuite au stade actuel de l'enquête est la détention provisoire. 4. Il résulte de ce qui précède que c’est à bon droit que le Tribunal des mesures de contrainte a estimé que les conditions de la détention provisoire du prévenu restaient réunies en l'état, le terme prévu au 6 décembre 2012 ne prêtant pas le flanc à la critique, vu les progrès de enquête. Partant, le recours, manifestement mal fondé, doit être rejeté sans autres échanges d’écritures (art. 390 al. 2 CPP). Les frais de la procédure de recours, constitués en l’espèce de l'émolument d'arrêt (art. 422 al. 1 CPP), par 1'100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d'B.________ est fixée à 388 fr. 80 (trois cent huitante-huit francs et huitante centimes). IV. Les frais du présent arrêt, par 1'100 fr. (mille cent francs), ainsi que l’indemnité due au défenseur d’office du recourant selon le chiffre III ci-dessus, sont mis à la charge d'B.________. V. Le remboursement à l'Etat de l'indemnité allouée au chiffre III ci-dessus sera exigible pour autant que la situation économique d'B.________ se soit améliorée. VI. Le présent arrêt est exécutoire. Le président :               Le greffier : Du L'arrêt qui précède, dont la rédaction a été approuvée à huis clos, est notifié, par l'envoi d'une copie complète, à : - M. Raphaël Tatti, avocat (pour B.________), - Ministère public central, et communiqué à : ‑ Tribunal des mesures de contrainte, - Monsieur le Procureur du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