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767 vom 3. September 2012</w:t>
      </w:r>
    </w:p>
    <w:p>
      <w:r>
        <w:t>VD Tribunal cantonal, 2012-09-03, FR</w:t>
      </w:r>
    </w:p>
    <w:p>
      <w:r>
        <w:rPr>
          <w:b/>
        </w:rPr>
        <w:t xml:space="preserve">Quelle: </w:t>
      </w:r>
      <w:r>
        <w:t>https://mcp.opencaselaw.ch/entscheid/vd_findinfo_D_cision___2012___767</w:t>
      </w:r>
    </w:p>
    <w:p>
      <w:r>
        <w:t>FR: VD_FINDINFO Décision / 2012 / 767 du 3 septembre 2012</w:t>
      </w:r>
    </w:p>
    <w:p>
      <w:r>
        <w:t>IT: VD_FINDINFO Décision / 2012 / 767 del 3 settembre 2012</w:t>
      </w:r>
    </w:p>
    <w:p>
      <w:pPr>
        <w:pStyle w:val="Heading2"/>
      </w:pPr>
      <w:r>
        <w:t>Regeste</w:t>
      </w:r>
    </w:p>
    <w:p>
      <w:r>
        <w:t>MOTIF DE RÉVISION, RÉVISION{DÉCISION}, DÉCISION D'IRRECEVABILITÉ, OPPOSITION TARDIVE | 355 CPP (CH), 356 al. 2 CPP (CH), 356 CPP (CH), 357 al. 1 CPP (CH), 357 al. 2 CPP (CH), 410 al. 1 let. a CPP (CH)</w:t>
      </w:r>
    </w:p>
    <w:p>
      <w:pPr>
        <w:pStyle w:val="Heading2"/>
      </w:pPr>
      <w:r>
        <w:t>Erwägungen</w:t>
      </w:r>
    </w:p>
    <w:p>
      <w:r>
        <w:rPr>
          <w:b/>
        </w:rPr>
        <w:t>E. 1</w:t>
      </w:r>
    </w:p>
    <w:p>
      <w:r>
        <w:t>La requête de révision a été déposée le 28 juin 2012 contre une ordonnance pénale rendue le 21 février 2012. Partant, c’est le Code de procédure pénale entré en vigueur le 1 er janvier 2011 qui s’applique tant à la procédure qu’aux motifs de la révision (TF 6B_310/2011 du 20 juin 2011 c. 1.1).</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w:t>
      </w:r>
    </w:p>
    <w:p>
      <w:r>
        <w:rPr>
          <w:b/>
        </w:rPr>
        <w:t>E. 2.2</w:t>
      </w:r>
    </w:p>
    <w:p>
      <w:r>
        <w:t>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 2.3). Il n'existe aucun motif susceptible de remettre en cause cette jurisprudence qui s'applique également à une procédure de révision régie par le CPP (TF 6B_310/2011 du 20 juin 2011 c. 1.3).</w:t>
      </w:r>
    </w:p>
    <w:p>
      <w:r>
        <w:rPr>
          <w:b/>
        </w:rPr>
        <w:t>E. 2.3</w:t>
      </w:r>
    </w:p>
    <w:p>
      <w:r>
        <w:t>En l'espèce, D.________ conteste avoir conduit le véhicule incriminé, fait valoir que son ancien employeur l'a dénoncé à tort et qu'il n'a pas pu faire opposition en temps utile car il était absent à l'étranger. Il est indéniable que les moyens invoqués par le demandeur auraient pu être examinés dans le cadre d'une procédure mise en œuvre sur opposition et qu'ils ne sont pas recevables dans le cadre d'une révision. Toutefois, il convient de déterminer si l'autorité préfectorale aurait dû examiner à réception de la lettre du demandeur du 1 er juin 2012 si l'opposition du contrevenant était recevable, selon l'art. 85 al. 4 CPP. En effet, D.________ ne devait pas nécessairement s'attendre à la notification d'une ordonnance pénale.</w:t>
      </w:r>
    </w:p>
    <w:p>
      <w:r>
        <w:rPr>
          <w:b/>
        </w:rPr>
        <w:t>E. 3</w:t>
      </w:r>
    </w:p>
    <w:p>
      <w:r>
        <w:t>D'après l'art. 357 al. 1 CPP, lorsque les autorités administratives sont instituées en vue de la poursuite et du jugement des contraventions, elles ont les attributions du ministère public. L'al. 2 prévoit que les dispositions sur l'ordonnance pénale sont applicables par analogie à la procédure en matière de contraventions. La procédure préfectorale s'inscrit donc dans le cadre des art. 352 ss CPP.</w:t>
      </w:r>
    </w:p>
    <w:p>
      <w:r>
        <w:rPr>
          <w:b/>
        </w:rPr>
        <w:t>E. 3.1</w:t>
      </w:r>
    </w:p>
    <w:p>
      <w:r>
        <w:t>En cas de désaccord du prévenu avec la sanction prononcée, ce dernier peut faire opposition dans les dix jours selon les règles applicables à la procédure de l'ordonnance pénale (354 CPP; Gilliéron/Killias, in: Commentaire romand, Code de procédure pénale suisse, Bâle 2011, n. 8 ss ad art. 357 CPP). Lorsqu'une opposition est formée, l'autorité pénale compétente en matière de contravention doit reprendre l'instruction conformément à l'art. 355 CPP. Après administration des preuves, celle-ci peut choisir entre quatre possibilités (art. 355 al. 3 CPP), soit maintenir l'ordonnance (let. a), classer la procédure (let. b), rendre une nouvelle ordonnance (let. c) ou porter l'accusation devant le tribunal de première instance (let. d). Si elle choisit de maintenir l'ordonnance décernée, le dossier est transmis au tribunal de première instance, l'art. 356 CPP étant alors applicable par analogie (Gilliéron/Killias, op. cit., n. 11 ad art. 357 CPP). Le tribunal de première instance est également compétent pour examiner la validité de l'opposition (art. 356 al. 2 CPP). Ainsi, si le Préfet considère que l'opposition est tardive, il doit transmettre au tribunal de première instance pour qu'il se prononce sur sa validité.</w:t>
      </w:r>
    </w:p>
    <w:p>
      <w:r>
        <w:rPr>
          <w:b/>
        </w:rPr>
        <w:t>E. 3.2</w:t>
      </w:r>
    </w:p>
    <w:p>
      <w:r>
        <w:t>En l'espèce, à réception de la lettre du demandeur du 1 er juin 2012 qui lui était adressée, l'autorité préfectorale aurait dû examiner la recevabilité de l'opposition à la lumière de l'art. 85 al. 4 CPP. Si elle considérait l'opposition comme tardive, elle devait la transmettre au tribunal de police, pour qu'il statue sur la validité de l'opposition. Dans le cas contraire, après avoir admis la recevabilité de l'opposition, l'autorité préfectorale devait rendre une nouvelle ordonnance.</w:t>
      </w:r>
    </w:p>
    <w:p>
      <w:r>
        <w:rPr>
          <w:b/>
        </w:rPr>
        <w:t>E. 4</w:t>
      </w:r>
    </w:p>
    <w:p>
      <w:r>
        <w:t>En définitive, la demande de révision présentée par D.________ est irrecevable et, au vu de ce qui précède, il convient de renvoyer le dossier à la préfecture pour examen de l'opposition, dans le sens des considérants qui précèdent. Compte tenu des indications inexactes données par le Préfet, les frais de la procédure de révision peuvent être laissées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