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760 vom 28. August 2012</w:t>
      </w:r>
    </w:p>
    <w:p>
      <w:r>
        <w:t>VD Tribunal cantonal, 2012-08-28, FR</w:t>
      </w:r>
    </w:p>
    <w:p>
      <w:r>
        <w:rPr>
          <w:b/>
        </w:rPr>
        <w:t xml:space="preserve">Quelle: </w:t>
      </w:r>
      <w:r>
        <w:t>https://mcp.opencaselaw.ch/entscheid/vd_findinfo_D_cision___2012___760</w:t>
      </w:r>
    </w:p>
    <w:p>
      <w:r>
        <w:t>FR: VD_FINDINFO Décision / 2012 / 760 du 28 août 2012</w:t>
      </w:r>
    </w:p>
    <w:p>
      <w:r>
        <w:t>IT: VD_FINDINFO Décision / 2012 / 760 del 28 agosto 2012</w:t>
      </w:r>
    </w:p>
    <w:p>
      <w:pPr>
        <w:pStyle w:val="Heading2"/>
      </w:pPr>
      <w:r>
        <w:t>Regeste</w:t>
      </w:r>
    </w:p>
    <w:p>
      <w:r>
        <w:t>CLASSEMENT DE LA PROCÉDURE, LÉSION CORPORELLE, CERTIFICAT MÉDICAL | 123 CP, 156 CP, 177 CP, 319 let. a CPC (CH), 319 let. b CPC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 ou lorsque les éléments constitutifs d’une infraction ne sont pas réunis (let. b) – à savoir lorsque le comportement incriminé, quand bien même il serait établi, ne réalise les éléments constitutifs objectifs et subjectifs d’aucune infraction pénale (Grädel/Heiniger, op. cit., n. 9 ad art. 319 CPP) –. Toutefois, à ce stade, le ministère public doit faire preuve de retenue : ainsi, s’il y a contradiction entre les preuves, il ne lui appartient pas de procéder à leur appréciation. A ce propos, le Tribunal fédéral, dans un arrêt récent (ATF 138 IV 86 c. 4.4.1), a précisé ce qui suit: "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w:t>
      </w:r>
    </w:p>
    <w:p>
      <w:r>
        <w:rPr>
          <w:b/>
        </w:rPr>
        <w:t>E. 3</w:t>
      </w:r>
    </w:p>
    <w:p>
      <w:r>
        <w:t>a) En l'espèce, il n'est pas contesté qu'une altercation a eu lieu entre A.F.________ et U.F.________ le 6 mai 2011. En effet, les deux parties reconnaissent s'être trouvées dans la même pièce et avoir échangé des propos dans une ambiance conflictuelle. Pour le surplus, les versions des deux protagonistes divergent. b) Dans un premier temps, il y a lieu de constater que le fait d'avoir craché par terre en signe de désapprobation – fait admis par A.F.________ - constitue déjà une injure au sens de l'art. 177 CP (Code pénal suisse du 21 décembre 1937, RS 311.0; Favre/Pellet/Stoudmann, Code pénal annoté, Lausanne 2007, 3 ème éd., n. 1.2 ad art. 177 CP, p. 476). Pour ce motif déjà, l'ordonnance de classement doit être annulée. c) De surcroît, il n'appartient pas au procureur de procéder à l'appréciation des déclarations contradictoires au stade de l'ordonnance de classement. C'est donc en violation du principe «in dubio pro duriore» que la Procureure de l'arrondissement de La Côte a quasiment intégralement retenu la version des faits d'A.F.________ – sans procéder à aucun autre acte d'instruction que l'audience de conciliation du 1 er février 2012 – alors que cette version est contredite par les déclarations du recourant et qu'elle ne permet pas d'expliquer l'intégralité des blessures attestées, d'une part, par un certificat médical et, d'autre part, par des photos. Pour ce motif également, l'ordonnance de classement 9 juillet 2012 doit être annulée. d) En définitive, il n'est pas possible à ce stade de retenir qu'il n'existe aucun soupçon justifiant la mise en accusation d'A.F.________ ou que les éléments constitutifs d'une infraction ne seraient manifestement pas réunis en l'espèce. Compte tenu du droit du recourant à une enquête effective, il conviendra d'entendre la mère de la prévenue ainsi que dame [...], qui ont été présentes à un moment ou l'autre de l'altercation. La décision de classement doit être annulée et la cause renvoyée au Ministère public de l’arrondissement de La Côte pour instruction et nouvelle décision.</w:t>
      </w:r>
    </w:p>
    <w:p>
      <w:r>
        <w:rPr>
          <w:b/>
        </w:rPr>
        <w:t>E. 4</w:t>
      </w:r>
    </w:p>
    <w:p>
      <w:r>
        <w:t>Les frais de la procédure de recours, constitués en l'espèce de l'émolument du présent arrêt, par 660 fr. (art. 20 al. 1 TFJP [Tarif des frais judiciaires pénaux du 28 septembre 2010, RSV 312.03.1]), sont laissés à la charge de l'Etat (art. 428 al. 4 CPP).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prononce : I. Le recours est admis. II. L'ordonnance est annulée et la cause est renvoyée au Ministère public de l’arrondissement de La Côte pour instruction dans le sens des considérants et nouvelle décision. III. Les frais d'arrêt, par 660 fr. (six cent soixante francs), sont laissés à la charge de l'Etat. IV. L'arrêt est exécutoire. Le président :               La greffière : Du L'arrêt qui précède, dont la rédaction a été approuvée à huis clos, est notifié, par l'envoi d'une copie complète, à : - M. Marcel Heider, avocat (pour U.F.________), - Mme A.F.________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