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752 vom 10. September 2012</w:t>
      </w:r>
    </w:p>
    <w:p>
      <w:r>
        <w:t>VD Tribunal cantonal, 2012-09-10, FR</w:t>
      </w:r>
    </w:p>
    <w:p>
      <w:r>
        <w:rPr>
          <w:b/>
        </w:rPr>
        <w:t xml:space="preserve">Quelle: </w:t>
      </w:r>
      <w:r>
        <w:t>https://mcp.opencaselaw.ch/entscheid/vd_findinfo_D_cision___2012___752</w:t>
      </w:r>
    </w:p>
    <w:p>
      <w:r>
        <w:t>FR: VD_FINDINFO Décision / 2012 / 752 du 10 septembre 2012</w:t>
      </w:r>
    </w:p>
    <w:p>
      <w:r>
        <w:t>IT: VD_FINDINFO Décision / 2012 / 752 del 10 settembre 2012</w:t>
      </w:r>
    </w:p>
    <w:p>
      <w:pPr>
        <w:pStyle w:val="Heading2"/>
      </w:pPr>
      <w:r>
        <w:t>Regeste</w:t>
      </w:r>
    </w:p>
    <w:p>
      <w:r>
        <w:t>DÉTENTION PRÉVENTIVE | 221 CPP (CH)</w:t>
      </w:r>
    </w:p>
    <w:p>
      <w:pPr>
        <w:pStyle w:val="Heading2"/>
      </w:pPr>
      <w:r>
        <w:t>Volltext</w:t>
      </w:r>
    </w:p>
    <w:p>
      <w:r>
        <w:t>Vaud Tribunal cantonal Cour d'appel civile 10.09.2012 Décision / 2012 / 752</w:t>
      </w:r>
    </w:p>
    <w:p>
      <w:r>
        <w:t>DÉTENTION PRÉVENTIVE | 221 CPP (CH)</w:t>
      </w:r>
    </w:p>
    <w:p>
      <w:r>
        <w:t>TRIBUNAL CANTONAL 525 PE12.009650-XCR CHAMBRE DES RECOURS PENALE __________________________________________ Séance du 10 septembre 2012 __________________ Présidence de               M. Krieger , président Juges :              MmesByrdeEpard et Byrde Greffière :              Mme Rouiller ***** Art. 221 CPP Vu l'enquête n o PE12.009650-XCR instruite contre G.________ par le Ministère public de l'arrondissement de La Côte pour vol, dommages à la propriété, violation de domicile, contravention à la loi fédérale du 3 octobre 1951 sur les stupéfiants et les substances psychotropes (LStup; RS 812.121), vu l'ordonnance rendue le 30 août 2012 par le Tribunal des mesures de contrainte, ordonnant la détention provisoire de G.________ pour une durée maximale de trois mois, soit au plus tard jusqu'au 28 novembre 2012, vu le recours interjeté le 5 septembre 2012 par G.________ contre cette ordonnance, vu les pièces du dossier; attendu que G.________ conclut à l'admission de son recours et à l'annulation de l'ordonnance de détention provisoire rendue le 30 août 2012 par le Tribunal des mesures de contrainte, la cause étant renvoyée devant cette instance, attendu que, selon l'art. 393 al. 1 let. c CPP (Code de procédure pénale suisse du 5 octobre 2007; RS 312.0), le recours est recevable contre les décisions du Tribunal des mesures de contrainte dans les cas prévus par le code, que d'après l’art. 222 CPP, le détenu peut attaquer devant l’autorité de recours les décisions ordonnant une mise en détention provisoire ou une mise en détention pour des motifs de sûreté ou encore la prolongation ou le terme de cette détention, qu'adressé par écrit, dans le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 RSV 173.01]), le recours, qui satisfait aux exigences de forme de l'art. 385 al. 1 CPP,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ces trois conditions ne sont pas cumulatives, que le fait que l'une d'elles au moins soit réalisée permet de justifier la détention provisoire,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provisoire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G.________ est soupçonné d'être impliqué dans plusieurs vols par effraction qui ont eu lieu le 7 avril 2012 à Morges, le 30 avril 2012 à Martigny, le 5 mai 2012 à Lausanne, le 19 mai 2012 à Gland, et le 21 mai 2012 à Bex, qu'il peut également être poursuivi pour usage de faux, qu'il a admis cinq des six cambriolages qui lui sont imputés, ne contestant que celui du 19 mai 2012 à Gland, que toutefois, son matériel génétique a été retrouvé sur la porte de l'appartement de Gland, qu'au vu de ce qui précède, il existe, en l'état du dossier, des soupçons suffisants de culpabilité à l'égard de G.________, celui-ci ayant au demeurant admis en grande partie les faits incriminés; attendu qu'une détention provisoire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op. cit. n. 18 ad. art. 221 CPP, p. 1028; ATF 137 IV 13 c.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attendu que, d'après la jurisprudence fédérale, les vols par effraction revêtent la gravité nécessaire pour menacer l'ordre public du fait que la situation peut dégénérer, car la réaction d'un cambrioleur peut être imprévisible, qu'il n'est, en effet, pas exclu qu'il s'en prenne physiquement à des tiers s'il rencontre de la résistance (TF 1B_731/2011 du 16 janvier 2012 c. 3.3), qu'une telle menace est a fortiori réalisée dans le cas d'un prévenu toxicomane qui pourrait être en manque lorsqu'il commet ses forfaits, qu'en l'espèce, le recourant est soupçonné d'avoir pénétré sans droit et par effraction dans quatre appartements et deux locaux commerciaux entre le 7 avril et le 22 mai 2012, y dérobant des bijoux, des montres et des appareils électroniques notamment, pour un montant total ascendant à plusieurs dizaines de milliers de francs, que le fait qu'il ait été entendu le 6 mai 2012 par le Procureur du Ministère public central après avoir été surpris en flagrant délit ne l'a pas empêché de perpétrer postérieurement de nouveaux vols avec effraction, que, l'intéressé, connu sous sept alias différents, n'ayant pas le droit de séjourner en Suisse et n'ayant pas de sources de revenus licites, vit manifestement du produit de ses infractions, qu'il est très sérieusement à craindre, dans ces circonstances, qu'il persiste à commettre des infractions contre le patrimoine, et ce avec effraction, que de tels agissements sont susceptibles de menacer gravement l'ordre public, qu'il existe dès lors un risque concret de réitération (art. 221 al. 1 let. c CPP); attendu que l'ordonnance attaquée se fonde également sur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ce risque est avéré, s'agissant d'un ressortissant géorgien, sans domicile fixe et sans revenu en Suisse, qu'au demeurant, celui-ci reconnaît n'avoir aucune attache avec notre pays (PV aud. 3, p. 3 : "[…]Si vous me lâchez, je quitte la Suisse et ne reviendrai plus jamais[…]" ) , qu'on peut ainsi sérieusement craindre que s'il est libéré, l'intéressé persistera à vivre dans la clandestinité et échappera aux poursuites pénales dirigées contre lui, qu'il fait valoir que la détention pourrait être remplacée par un moyen alternatif tel que l'obligation de se présenter à un poste de douane proche de son domicile,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qu'elles poursuivent le même objectif - éviter la fuite, la récidive ou la collusion - tout en étant moins sévères (Härri, in Niggli/Heer/Wiprächtiger (éd.), Basler Kommentar, Schweizerische Strafprozessordnung, Bâle 2011, n. 6 ad art. 237 CPP, p. 1566; Schmocker, op. cit., n. 2 ad art. 237 CPP, p. 1099),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et en vertu duquel le maintien en détention pour les besoins de l'instruction présente l' ultima ratio , que ces mesures de substitution sont décrites à l'art. 237 al. 2 CPP : fourniture de sûretés, saisie de documents, assignation à résidence, obligation de se présenter régulièrement à un service administratif, travail régulier, obligation de se soumettre à un traitement médical ou à des contrôles, et interdiction d'entretenir des relations avec certaines personnes, que s'agissant d'un prévenu qui n'a pas le droit de rester en Suisse, la mesure de substitution proposée ne permet pas prévenir efficacement le risque de fuite, qu'elle n'est au surplus pas de nature à parer le risque de récidive, qu'il n'existe, cela étant, aucune alternative à la détention provisoire en la forme de mesures de substitution; attendu que la détention, qui a débuté le 28 août 2012, est proportionnée compte tenu de la gravité des infractions commises et de la peine encourue concrètement par le recourant, qu'au surplus, hormis dans l'hypothèse – non réalisée en l'espèce – où l'octroi du sursis s'imposerait d'emblée avec évidence (Logos, in : Kuhn/Jeanneret (éd.), Commentaire romand, Code de procédure pénale suisse, 2011, n. 24 ad art. 227 CPP et les références citées; TF 1B_79/2012 du 22 février 2012 c. 6; TF 1B_641/2011 du 25 novembre 2011 c. 3.1), le fait que la peine encourue puisse être assortie du sursis, total ou partiel, n'est pas déterminant sous l'angle de la proportionnalité (ATF 133 I 270 c. 3.4.2; ATF 125 I 60 c. 3d, JT 2006 IV 114; TF 1B_482/2011 du 4 octobre 2011 c. 2.1), que, partant, l'argument fondé sur un possible octroi du sursis (mémoire, p. 3) apparaît ainsi vain, que le prévenu reste libre de déposer en tout temps une demande de mise en liberté auprès du Ministère public (art. 228 al. 1 CPP); attendu, en définitive, que le recours, manifestement mal fondé, doit être rejeté sans autres échanges d'écritures (art. 390 al. 2 CPP), et l’ordonnance confirmée, que les frais de la procédure de recours, par 770 fr. (sept cent septante francs) (art. 20 al. 1 TFJP [Tarif des frais judiciaires pénaux du 28 septembre 2010, RSV 312.03.1]), ainsi que les frais imputables à la défense d’office (art. 422 al. 1 et al. 2 let. a CPP), fixés à 360 fr., plus la TVA (par 28 fr. 80), sont mis à la charge du recourant, qui succombe (art. 428 al. 1 CPP), que le remboursement à l’Etat de l’indemnité allouée au défenseur d’office de G.________ ne sera toutefois exigible que pour autant que la situation économique de ce dernier se soit améliorée (art. 135 al. 4 CPP). Par ces motifs, la Chambre des recours pénale, statuant à huis clos : I. Rejette le recours. II. Confirme l'ordonnance. III. Fixe à 388 fr. 80 (trois cent huitante-huit francs et huitante centimes), TVA incluse, l'indemnité due au défenseur d'office de G.________. IV. Dit que les frais du présent arrêt, par 770 fr. (sept cent septante francs), ainsi que l'indemnité due au défenseur de G.________, par 388 fr. 80 (trois cent huitante-huit francs et huitante centimes), sont mis à la charge de ce dernier. V. Dit que le remboursement à l'Etat de l'indemnité allouée au chiffre III ci-dessus sera exigible pour autant que la situation économique de G.________ se soit améliorée. VI. Déclare le présent arrêt exécutoire. Le président :               La greffière : Du L'arrêt qui précède, dont la rédaction a été approuvée à huis clos, est notifié, par l'envoi d'une copie complète, à : - Me Charlotte Iselin, avocate (pour G.________), - Ministère public central, et communiquée à : ‑ Mme la Présidente du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