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750 vom 10. September 2012</w:t>
      </w:r>
    </w:p>
    <w:p>
      <w:r>
        <w:t>VD Tribunal cantonal, 2012-09-10, FR</w:t>
      </w:r>
    </w:p>
    <w:p>
      <w:r>
        <w:rPr>
          <w:b/>
        </w:rPr>
        <w:t xml:space="preserve">Quelle: </w:t>
      </w:r>
      <w:r>
        <w:t>https://mcp.opencaselaw.ch/entscheid/vd_findinfo_D_cision___2012___750</w:t>
      </w:r>
    </w:p>
    <w:p>
      <w:r>
        <w:t>FR: VD_FINDINFO Décision / 2012 / 750 du 10 septembre 2012</w:t>
      </w:r>
    </w:p>
    <w:p>
      <w:r>
        <w:t>IT: VD_FINDINFO Décision / 2012 / 750 del 10 settembre 2012</w:t>
      </w:r>
    </w:p>
    <w:p>
      <w:pPr>
        <w:pStyle w:val="Heading2"/>
      </w:pPr>
      <w:r>
        <w:t>Regeste</w:t>
      </w:r>
    </w:p>
    <w:p>
      <w:r>
        <w:t>OPPOSITION{PROCÉDURE}, CALCUL DU DÉLAI | 385 CPP (CH), 87 al. 3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(CREP du 13 février 2012/160;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 b) En l’espèce, le recours a été interjeté en temps utile. Pour le surplus, on admettra que celui-ci est recevable quant à la forme, quand bien même il est douteux qu'il réponde aux exigences de motivation prévues par l'art. 385 al. 1 CPP.</w:t>
      </w:r>
    </w:p>
    <w:p>
      <w:r>
        <w:rPr>
          <w:b/>
        </w:rPr>
        <w:t>E. 2</w:t>
      </w:r>
    </w:p>
    <w:p>
      <w:r>
        <w:t>a) Le prévenu peut former opposition contre l’ordonnance pénale devant le Ministère public, par écrit et dans les dix jours; cette opposition n’a pas besoin d’être motivée (art. 354 al. 1 et 2 CPP). Aux termes de l’art. 87 al. 3 CPP, si les parties sont pourvues d’un conseil juridique, les communications sont valablement notifiées à celui-ci.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al. 1 CPP, le délai est réputé observé si l'acte de procédure est accompli auprès de l'autorité compétente au plus tard le dernier jour du délai. Les écrits doivent être remis au plus tard le dernier jour du délai notamment à la Poste suisse (art. 91 al. 2 CPP). b) En l'espèce, l'ordonnance pénale du</w:t>
      </w:r>
    </w:p>
    <w:p>
      <w:r>
        <w:rPr>
          <w:b/>
        </w:rPr>
        <w:t>E. 7</w:t>
      </w:r>
    </w:p>
    <w:p>
      <w:r>
        <w:t>décembre 2011 a été valablement notifiée au défenseur d'office de R.________ le 8 décembre 2011 (art. 87 al. 3 CPP) et le fait que le recourant ne se trouvait pas sur le territoire helvétique à cette période est sans pertinence. Le délai de l'art. 354 al. 1 CPP est donc échu depuis le lundi 19 décembre 2011. Au vu de ces éléments, l'opposition formée le 15 août 2012 par R.________ est manifestement tardive et c'est à juste titre que le Tribunal d'arrondissement de Lausanne l'a déclarée irrecevable. 4. Il résulte de ce qui précède que le recours doit être rejeté, sans autre échange d’écritures (art. 390 al. 2 CPP). Les frais de la procédure de recours, constitués en l'espèce du seul émolument d'arrêt (art. 422 al. 1 CPP), par 440 fr. (art. 20 al. 1 TFJP [Tarif des frais judiciaires pénaux du 28 septembre 2010, RSV 312.03.1]), sont mis à la charge R.________ qui succombe (art. 428 al. 1 CPP). Par ces motifs, la Chambre des recours pénale, statuant à huis clos, prononce : I. Le recours est rejeté. II. Le prononcé attaqué est confirmé. III. Les frais du présent arrêt, par 440 fr. (quatre cent quarante francs), sont mis à la charge de R.________. IV. Le présent arrêt est exécutoire. Le président:               La greffière : Du L'arrêt qui précède, dont la rédaction a été approuvée à huis clos, est notifié, par l'envoi d'une copie complète, à : - M. R.________ - Ministère public central, et communiqué à : ‑ M. le Président du Tribunal d'arrondissement de Lausanne, - M. le Procureur d'arrondissement de Lausanne, - Service Pénitentiaire,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