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749 vom 3. Juli 2012</w:t>
      </w:r>
    </w:p>
    <w:p>
      <w:r>
        <w:t>VD Tribunal cantonal, 2012-07-03, FR</w:t>
      </w:r>
    </w:p>
    <w:p>
      <w:r>
        <w:rPr>
          <w:b/>
        </w:rPr>
        <w:t xml:space="preserve">Quelle: </w:t>
      </w:r>
      <w:r>
        <w:t>https://mcp.opencaselaw.ch/entscheid/vd_findinfo_D_cision___2012___749</w:t>
      </w:r>
    </w:p>
    <w:p>
      <w:r>
        <w:t>FR: VD_FINDINFO Décision / 2012 / 749 du 3 juillet 2012</w:t>
      </w:r>
    </w:p>
    <w:p>
      <w:r>
        <w:t>IT: VD_FINDINFO Décision / 2012 / 749 del 3 luglio 2012</w:t>
      </w:r>
    </w:p>
    <w:p>
      <w:pPr>
        <w:pStyle w:val="Heading2"/>
      </w:pPr>
      <w:r>
        <w:t>Regeste</w:t>
      </w:r>
    </w:p>
    <w:p>
      <w:r>
        <w:t>CLASSEMENT DE LA PROCÉDURE, PORNOGRAPHIE, SUPPORT DE DONNÉES SONORES ET VISUELLES | 156 CP, 179quater CP, 180 CP, 181 CP, 310 CPP (CH)</w:t>
      </w:r>
    </w:p>
    <w:p>
      <w:pPr>
        <w:pStyle w:val="Heading2"/>
      </w:pPr>
      <w:r>
        <w:t>Erwägungen</w:t>
      </w:r>
    </w:p>
    <w:p>
      <w:r>
        <w:rPr>
          <w:b/>
        </w:rPr>
        <w:t>E. 1</w:t>
      </w:r>
    </w:p>
    <w:p>
      <w:r>
        <w:t>CPP) et dans les formes prescrites (art. 385 al. 1 CPP), le recours est recevable.</w:t>
      </w:r>
    </w:p>
    <w:p>
      <w:r>
        <w:rPr>
          <w:b/>
        </w:rPr>
        <w:t>E. 2</w:t>
      </w:r>
    </w:p>
    <w:p>
      <w:r>
        <w:t>L'art. 310 al. 1 let. a CPP prévoit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Il suffit que l’un des éléments constitutifs ne soit manifestement pas réalisé (Cornu, in : Kuhn/Jeanneret (éd.), Commentaire romand, Code de procédure pénale suisse, Bâle 2011, n. 8 ad art. 310 CPP, p. 1411). En d'autres termes, il faut que le comportement dénoncé apparaisse d’emblée comme non punissable (Cornu, op. cit., n. 10 ad art. 310 CPP).</w:t>
      </w:r>
    </w:p>
    <w:p>
      <w:r>
        <w:rPr>
          <w:b/>
        </w:rPr>
        <w:t>E. 3</w:t>
      </w:r>
    </w:p>
    <w:p>
      <w:r>
        <w:t>a) L'art. 179 quater CP (Code pénal suisse du 21 décembre 1937; RS 311.0), qui réprime la violation du domaine secret ou du domaine privé au moyen d’un appareil de prise de vues, prévoit notamment que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d’une peine privative de liberté de trois ans au plus ou d’une peine pécuniaire. Les éléments constitutifs de l'infraction sont une observation ou une prise de vue illicite d'une part et l'exploitation à son profit ou la révélation du fait, la conservation ou la mise à disposition de l'image d'autre part (Corboz, Les infractions en droit suisse, 3 e éd., vol. I, Berne 2010, pp. 659 à 662). Le caractère répréhensible de l'acte réside dans l'absence de consentement de la part des personnes observées à l'aide d'un appareil de prise de vue (Corboz, op. cit., p. 664). Par conséquent,  dans les cas où il y a eu consentement, l'exploitation ou la révélation des prises de vue à des tiers reste impunie. b) En l'espèce, X.________ a donné son consentement à la réalisation des films litigieux et le fait qu'elle ait exigé que ceux-ci soient détruits après leur réalisation est sans effet à cet égard. Aussi, l'un des éléments constitutifs de l'infraction de violation du domaine secret ou du domaine privé au moyen d’un appareil de prise de vues n'est manifestement pas réalisé. c) Par surabondance, l'art. 31 CP prévoit que le droit de porter plainte se prescrit par trois mois dès le jour où l'ayant droit a connu l'auteur de l'infraction. En l'espèce, X.________ a eu connaissance de l'existence des copies des DVD dès la fin de l'année 2009 et, au plus tard, au mois de mai 2011. Le délai de l'art. 31 CP – qui courait donc à tout le moins depuis cette dernière date – est donc arrivé à échéance à la fin du mois d'août 2011. Aussi, la plainte de la recourante, déposée le 23 novembre 2011, est manifestement tardive. d) C'est donc à juste titre que le Procureur a refusé d'entrer en matière en ce qui concerne l'art. 179 quater CP. Le même raisonnement doit d'ailleurs être appliqué à toutes les infractions qui ne se poursuivent que sur plainte et, en particulier, à l'infraction d'usage abusif d'une installation de télécommunication au sens de l'art. 179 septies CP.</w:t>
      </w:r>
    </w:p>
    <w:p>
      <w:r>
        <w:rPr>
          <w:b/>
        </w:rPr>
        <w:t>E. 4</w:t>
      </w:r>
    </w:p>
    <w:p>
      <w:r>
        <w:t>a) Il reste donc à examiner si le Procureur était autorisé à retenir d'emblée que le comportement des prévenus ne relevait d'aucune infraction se poursuivant d'office. b) Les menaces (art. 180 CP) se poursuivent d'office si l’auteur est le partenaire hétérosexuel ou homosexuel de la victime pour autant qu’ils fassent ménage commun pour une durée indéterminée et que la menace ait été commise durant cette période ou dans l’année qui a suivi la séparation (art. 180 al. 2 let. b CP). Pour qu'il y ait menaces au sens pénal, il faut notamment – il s'agit d'un élément constitutif objectif de l'infraction – que la menace soit grave, autrement dit, qu'elle soit objectivement de nature à alarmer ou effrayer la victime (Corboz, op. cit., p. 694). Cette notion de menaces est la même que celle contenue à l'art. 181 CP réprimant la contrainte (Corboz, op. cit., p. 703). Toute mise en garde, commination ou admonestation n'est donc pas une menace au sens pénal (cf. Corboz, op. cit., p. 703). L'auteur de la contrainte, à la différence de celui qui se rend coupable de menaces, ne veut pas simplement faire peur, mais bien entraver autrui dans sa liberté (Corboz, op. cit., p. 704). En l'espèce, le fait que V.________ ait déclaré qu'il pouvait "tuer par amour" n'est pas suffisant pour constituer une menace grave au sens des art. 180 ou 181 CP. Pour le surplus, aucun autre élément de la plainte de la recourante n'est susceptible de fonder une menace grave au sens de ces dispositions. Au vu de ce qui précède, l'élément objectif de la menace sérieuse n'est pas réalisé et c'est à juste titre que le Procureur a d'emblée retenu que les conditions des infractions de menaces et de contrainte n'étaient pas réalisées. c) L'art.156 CP, réprimant le chantage, n'est pas non plus applicable au cas d'espèce. En effet, cette infraction exige, d'une part, que l'auteur ait le dessein de se procurer ou de procurer à un tiers un enrichissement illégitime et, d'autre part, qu'il y ait un préjudice pécuniaire pour le lésé ou pour un tiers. Or, en l'occurrence, V.________ n'avait aucune intention d'obtenir un avantage pécuniaire – puisqu'il a une situation aisée selon les déclarations de la recourante – et il n'a porté aucune atteinte au patrimoine de la recourante. Aussi, le "chantage affectif" dont aurait été victime la recourante ne répond pas aux conditions légales de l'art. 156 CP. d) En définitive, il n'apparaît pas que le comportement des prévenus remplisse les conditions d'une infraction pénale. Aussi est-ce à bon droit que le Procureur a refusé d'entrer en matière sur la plainte de X.________. Il appartiendra, le cas échéant, à la recourante de faire valoir ses droits dans le cadre d'une action civile sur la base des art. 28 ss CC (Code civil suisse du 10 décembre 1907; RS 210).</w:t>
      </w:r>
    </w:p>
    <w:p>
      <w:r>
        <w:rPr>
          <w:b/>
        </w:rPr>
        <w:t>E. 5</w:t>
      </w:r>
    </w:p>
    <w:p>
      <w:r>
        <w:t>Partant, le recours, manifestement mal fondé, doit être rejeté sans autres échanges d’écritures (art. 390 al. 2 CPP). Les frais de la procédure de recours, constitués en l’espèce du seul émolument d'arrêt (art. 422 al. 1 CPP), par 660 fr. (art. 20 al. 1 TFJP [tarif des frais judiciaires pénaux; RSV 312.03.1]), seront mis à la charge de la recourante, qui succombe (art. 428 al. 1 CPP). Par ces motifs, la Chambre des recours pénale, statuant à huis clos, prononce : I. Le recours est rejeté. II. L'ordonnance est confirmée. III. Les frais du présent arrêt, par 660 fr. (six cent soixante francs), sont mis à la charge de la recourante X.________. IV. L'arrêt est exécutoire. Le président :               La greffière : Du L'arrêt qui précède, dont la rédaction a été approuvée à huis clos, est notifié, par l'envoi d'une copie complète, à : - Mme X.________,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