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736 vom 12. Juni 2011</w:t>
      </w:r>
    </w:p>
    <w:p>
      <w:r>
        <w:t>VD Tribunal cantonal, 2011-06-12, FR</w:t>
      </w:r>
    </w:p>
    <w:p>
      <w:r>
        <w:rPr>
          <w:b/>
        </w:rPr>
        <w:t xml:space="preserve">Quelle: </w:t>
      </w:r>
      <w:r>
        <w:t>https://mcp.opencaselaw.ch/entscheid/vd_findinfo_D_cision___2012___736</w:t>
      </w:r>
    </w:p>
    <w:p>
      <w:r>
        <w:t>FR: VD_FINDINFO Décision / 2012 / 736 du 12 juin 2011</w:t>
      </w:r>
    </w:p>
    <w:p>
      <w:r>
        <w:t>IT: VD_FINDINFO Décision / 2012 / 736 del 12 giugno 2011</w:t>
      </w:r>
    </w:p>
    <w:p>
      <w:pPr>
        <w:pStyle w:val="Heading2"/>
      </w:pPr>
      <w:r>
        <w:t>Regeste</w:t>
      </w:r>
    </w:p>
    <w:p>
      <w:r>
        <w:t>DÉTENTION PRÉVENTIVE, RISQUE DE RÉCIDIVE | 221 al. 1 let. c CPP (CH), 393 al. 1 let. c CPP (CH)</w:t>
      </w:r>
    </w:p>
    <w:p>
      <w:pPr>
        <w:pStyle w:val="Heading2"/>
      </w:pPr>
      <w:r>
        <w:t>Erwägungen</w:t>
      </w:r>
    </w:p>
    <w:p>
      <w:r>
        <w:rPr>
          <w:b/>
        </w:rPr>
        <w:t>E. 21</w:t>
      </w:r>
    </w:p>
    <w:p>
      <w:r>
        <w:t>juillet 2011, par laquelle le Tribunal des mesures de contrainte a refusé d'ordonner la libération de la détention provisoire du prénommé, vu l'ordonnance du 30 août 2011, par laquelle ledit tribunal a ordonné la prolongation de la détention provisoire du prévenu pour une durée de trois mois, à compter du 11 septembre 2011, vu l'ordonnance du 14 septembre 2011, par laquelle le même tribunal a, à la suite de l'arrêt du Tribunal fédéral du 31 août 2011 admettant le recours interjeté par A.________ contre l'arrêt du 21 juillet 2011 susmentionné, ordonné, en lieu et place de la détention provisoire, une mesure de substitution sous la forme d'une interdiction faite au prénommé d'entretenir des relations, qu'elles quelles soient, avec N.________ et ordonné la libération immédiate du prévenu, vu l'ordonnance du 25 avril 2012, par laquelle le Tribunal des mesures de contrainte a ordonné pour la troisième fois la détention provisoire d'A.________ pour une durée de trois mois, soit jusqu'au 23 juillet 2012, vu l'ordonnance du 18 juillet 2012, par laquelle ce tribunal a prolongé la détention provisoire du prénommé pour une durée de trois mois, soit jusqu'au 23 octobre 2012, vu la demande de mise en liberté présentée le 15 août 2012 par A.________, vu les déterminations du Ministère public du 17 août 2012, vu l'ordonnance du 23 août 2012, par laquelle le Tribunal des mesures de contrainte a refusé d'ordonner la libération de la détention provisoire du prévenu et dit que les frais de la décision, par 525 fr., suivaient le sort de la cause, vu le recours interjeté en temps utile par A.________ contre cette décision, vu les courriers des 22 et 29 août 2012 du défenseur d'office d'A.________, vu les pièces du dossier; attendu que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que la décision du Tribunal des mesures de contrainte refusant la libération de la détention provisoire peut faire l'objet d'un recours (art. 222 et 393 al. 1 let. c CPP),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qu'en l'espèce, dans le cadre d'une première enquête ouverte contre lui le 24 octobre 2010 (dossier B, PE10.025822), il est reproché à A.________, qui faisait déjà l'objet d'un signalement sous mandat d'arrêt par le Service pénitentiaire vaudois afin d'exécuter une peine antérieure, d'avoir harcelé son ex-amie N.________ régulièrement depuis leur séparation en août 2010, de s'en être pris physiquement à elle et de l'avoir menacée, que le recourant est également mis en cause pour avoir, le 11 juin 2011, mordu jusqu'au sang la main de N.________, pour l'avoir menacée et lui avoir jeté le contenu d'un verre d'alcool à la figure en date du 14 octobre 2011 (P. 54), pour l'avoir, le 20 novembre 2011, une nouvelle fois menacée et injuriée, lui avoir dérobé ses deux téléphones portables et avoir cassé la vitre de la voiture appartenant au père de la plaignante (P. 69/1) et pour l'avoir, le 2 décembre 2011, à nouveau menacée, embrassée avec violence et léchée au visage (P. 65), qu'il est en outre reproché au prévenu d'avoir, le matin du 22 avril 2012, à la sortie d'un club à Lausanne, après une altercation verbale avec son amie de l'époque D.________ et pour la faire taire, saisi au cou cette dernière et avoir serré jusqu'à lui faire perdre connaissance (PV aud. de D.________ du 22 avril 2012, pp. 3 et 4), qu'A.________ a admis partiellement les faits survenus en 2010 (Dossier B, PV aud. du 22 novembre 2010) et ceux du 11 juin 2011 (Rapport de police du 11 juin 2011, p. 3), qui lui ont valu d'être préventivement détenu du 19 novembre 2010 au 21 janvier 2011 et du 11 juin au 14 septembre 2011, qu'il a également reconnu, dans un premier temps, les autres faits concernant son ex-amie N.________, avant de les remettre en cause (recours, p. 4), qu'il a également admis les événements survenus le 22 avril 2012 (PV aud. du 23 avril 2012), précisant, lors de son audition devant le Tribunal des mesures de contrainte (PV aud. du</w:t>
      </w:r>
    </w:p>
    <w:p>
      <w:r>
        <w:rPr>
          <w:b/>
        </w:rPr>
        <w:t>E. 23</w:t>
      </w:r>
    </w:p>
    <w:p>
      <w:r>
        <w:t>août 2012, p. 2); attendu, au surplus, qu'il ressort de l'expertise psychiatrique du 20 juillet 2000 et de ses compléments (P. 76 à 78) que le prévenu souffrait, déjà à l'époque, d'un trouble de la personnalité avec des traits paranoïaques et dyssociaux pouvant le pousser à agir avec impulsivité et sans considération pour les conséquences possibles, que les experts avaient d'ailleurs conclu à un risque de récidive, qu'une nouvelle expertise est en cours, que si les entretiens avec le psychiatre sont terminés, comme le relève le recourant (P. 140/2), il faut néanmoins attendre le rapport d'expertise avant de réévaluer la situation (P. 134); attendu que les conditions de la mise en détention étant réalisées pour le risque de réitération, il n'y a pas lieu d'examiner si les risques de fuite et de collusion justifient également sa mise en détention;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la première fois le 19 novembre 2010, qu'il a été détenu préventivement du 19 novembre 2010 au 21 janvier 2011, du 11 juin au 14 septembre 2011, puis du 25 avril 2012 à ce jour, soit pendant 9 mois au total, que mis en cause pour lésions corporelles simples, voies de fait, mise en danger de la vie d'autrui, dommages à la propriété, injure, utilisation abusive d'une installation de télécommunication, menaces, tentative de contrainte, tentative de contrainte sexuelle, désagréments causés par la confrontation à un acte d'ordre sexuel, infraction à la LEtr et contravention à la LStup, le prévenu encourt une peine d’une durée supérieure à celle de la détention subie jusqu’à maintenant si les faits sont avérés, que, par conséquent, le principe de proportionnalité des intérêts en présence demeure respecté; attendu que par courrier du 29 août 2012, le défenseur d'office d'A.________ a requis "pour la bonne forme" la restitution du délai de déterminations devant le Tribunal des mesures de contrainte au motif que son courrier du 22 août 2012, mal adressé, n'a pas pu parvenir audit tribunal dans le délai imparti (P. 140/2), que le courrier précité a été versé au dossier, comme demandé ( ibidem ), que le prévenu a en outre pu s'exprimer dans l'acte de recours, que ceci rend superflu l'examen de l'incidence de l'absence de déterminations devant le Tribunal des mesures de contrainte; attendu, en définitive, que le recours manifestement mal fondé doit être rejeté sans autres échanges d'écritures (art. 390 al. 2 CPP) et l’ordonnance confirmée, que les frais de la procédure de recours, par 990 fr. (art. 20 al. 1 TFJP [Tarif des frais judiciaires pénaux du 28 septembre 2010, RSV 312.03.1]), ainsi que les frais imputables à la défense d’office (art. 422 al. 1 et al. 2 let. a CPP), fixés à 360 fr., plus la TVA, par</w:t>
      </w:r>
    </w:p>
    <w:p>
      <w:r>
        <w:rPr>
          <w:b/>
        </w:rPr>
        <w:t>E. 28</w:t>
      </w:r>
    </w:p>
    <w:p>
      <w:r>
        <w:t>fr. 80, soit un total de 388 fr. 80, sont mis à la charge du recourant, qui succombe (art. 428 al. 1 CPP), que le remboursement à l’Etat de l’indemnité allouée au défenseur d’office d'A.________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d'A.________ est fixée à 388 fr. 80 (trois cent huitante-huit francs et huitante centimes). IV. Les frais d'arrêt, par 990 fr. (neuf cent nonante francs), ainsi que l'indemnité due au défenseur d'office d'A.________, par 388 fr. 80 (trois cent huitante-huit francs et huitante centimes), sont mis à la charge de ce dernier. V. Le remboursement à l'Etat de l'indemnité allouée au chiffre III ci-dessus sera exigible pour autant que la situation économique d'A.________ se soit améliorée. VI. L'arrêt est exécutoire. Le président :               Le greffier : Du L'arrêt qui précède, dont la rédaction a été approuvée à huis clos, est notifié, par l'envoi d'une copie complète, à : - Mme Kathrin Gruber, avocate (pour A.________),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