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717 vom 11. Mai 2011</w:t>
      </w:r>
    </w:p>
    <w:p>
      <w:r>
        <w:t>VD Tribunal cantonal, 2011-05-11, FR</w:t>
      </w:r>
    </w:p>
    <w:p>
      <w:r>
        <w:rPr>
          <w:b/>
        </w:rPr>
        <w:t xml:space="preserve">Quelle: </w:t>
      </w:r>
      <w:r>
        <w:t>https://mcp.opencaselaw.ch/entscheid/vd_findinfo_D_cision___2012___717</w:t>
      </w:r>
    </w:p>
    <w:p>
      <w:r>
        <w:t>FR: VD_FINDINFO Décision / 2012 / 717 du 11 mai 2011</w:t>
      </w:r>
    </w:p>
    <w:p>
      <w:r>
        <w:t>IT: VD_FINDINFO Décision / 2012 / 717 del 11 maggio 2011</w:t>
      </w:r>
    </w:p>
    <w:p>
      <w:pPr>
        <w:pStyle w:val="Heading2"/>
      </w:pPr>
      <w:r>
        <w:t>Regeste</w:t>
      </w:r>
    </w:p>
    <w:p>
      <w:r>
        <w:t>LIBÉRATION CONDITIONNELLE | 86 CP, 87 CP, 26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Lorsque les conditions susmentionnées sont réalisées, l'art. 86 al. 1 CP impose à l'autorité compétente d'ordonner la libération avant terme. b) En vertu de l'art. 87 CP, il est imparti au détenu libéré conditionnellement un délai d’épreuve égal à la durée du solde de sa peine. Ce délai est toutefois d’un an au moins et de cinq ans au plus (al. 1). L’autorité d’exécution ordonne, en règle générale, une assistance de probation pour la durée du délai d’épreuve. Elle peut imposer des règles de conduite (al. 2). c) Dans le cas d'espèce, la condition objective des deux tiers de la peine prévue par l'art. 86 al. 1 CP est réalisée depuis le 27 août 2012. La condition du bon comportement du recourant en détention est également réalisée (jgt. attaqué, c. 3, p. 2). S'agissant de la troisième condition, le juge d'application des peines a considéré que le pronostic n'apparaissait pas résolument défavorable et a suivi le préavis positif de l'OEP en accordant la libération conditionnelle dès le sevrage accompli (jgt. attaqué, c. 4f, p. 5). d) Le recourant soutient que le fait de conditionner la libération conditionnelle au sevrage total de méthadone ne serait pas constructif dans la mesure où un tel sevrage est actuellement hors de sa portée. Il demande à pouvoir entrer au Foyer du Relais, non plus au Foyer des Rives du Rhône, l'admission dans ce dernier établissement étant conditionnée à un sevrage total. Comme l'explique à juste titre le juge d'application des peines, la réduction du risque de récidive, nécessaire à la libération conditionnelle, dépend du sevrage contesté (jgt. attaqué, p. 5). En effet, les multiples condamnations précédentes, en lien avec l'addiction du recourant, imposent d'émettre un pronostic défavorable quant à son comportement futur, sauf avec la règle de conduite remise en cause. Par ailleurs, le recourant invoque des faits nouveaux, soit son soudain refus d'un prompt sevrage et la recherche d'autres institutions d'accueil moins strictes. En réalité, il perd de vue que la décision attaquée n'impose pas un sevrage brutal, mais en fait dépendre le début de la mise à l'épreuve. Au vu de ce qui précède, un pronostic non défavorable ne peut être posé en faveur du recourant que s'il est durablement abstinent. Dès lors, la règle de conduite du sevrage à la méthadone ne porte pas le flanc à la critique et le jugement du juge d'application des peines du 9 août 2012, rectifié le 14 août 2012, doit être entièrement confirmé.</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du 28 septembre 2010; RSV 312.03.1]), seront mis à la charge du recourant qui succombe (art. 428 al. 1 CPP). Par ces motifs, la Chambre des recours pénale, statuant à huis clos, prononce : I. Le recours est rejeté. II. Le jugement est confirmé. III. Les frais du présent arrêt, par 880 fr. (huit cent huitante francs), sont mis à la charge de Q.________. IV. Le présent arrêt est exécutoire. Le président :               La greffière : Du L'arrêt qui précède, dont la rédaction a été approuvée à huis clos, est notifiée, par l'envoi d'une copie complète, à : - Q.________, - Ministère public central, et communiquée à : - M. le Juge d'application des peines, - Ministère public de l'arrondissement de la Côte, - Office d'exécution des peines (Réf: OEP/PPL/42306/ST), - Colonie pénitentiaire de Crêtelongue,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