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714 vom 11. November 2011</w:t>
      </w:r>
    </w:p>
    <w:p>
      <w:r>
        <w:t>VD Tribunal cantonal, 2011-11-11, FR</w:t>
      </w:r>
    </w:p>
    <w:p>
      <w:r>
        <w:rPr>
          <w:b/>
        </w:rPr>
        <w:t xml:space="preserve">Quelle: </w:t>
      </w:r>
      <w:r>
        <w:t>https://mcp.opencaselaw.ch/entscheid/vd_findinfo_D_cision___2012___714</w:t>
      </w:r>
    </w:p>
    <w:p>
      <w:r>
        <w:t>FR: VD_FINDINFO Décision / 2012 / 714 du 11 novembre 2011</w:t>
      </w:r>
    </w:p>
    <w:p>
      <w:r>
        <w:t>IT: VD_FINDINFO Décision / 2012 / 714 del 11 novembre 2011</w:t>
      </w:r>
    </w:p>
    <w:p>
      <w:pPr>
        <w:pStyle w:val="Heading2"/>
      </w:pPr>
      <w:r>
        <w:t>Regeste</w:t>
      </w:r>
    </w:p>
    <w:p>
      <w:r>
        <w:t>ESCROQUERIE | 146 al. 1 CP, 19 al. 2 CP, 34 CP, 42 CP, 44 al. 1 CP, 47 CP</w:t>
      </w:r>
    </w:p>
    <w:p>
      <w:pPr>
        <w:pStyle w:val="Heading2"/>
      </w:pPr>
      <w:r>
        <w:t>Erwägungen</w:t>
      </w:r>
    </w:p>
    <w:p>
      <w:r>
        <w:rPr>
          <w:b/>
        </w:rPr>
        <w:t>E. 1.1</w:t>
      </w:r>
    </w:p>
    <w:p>
      <w:r>
        <w:t>Interjeté dans les formes et délais légaux (cf. art. 399 CPP) contre le jugement d’un tribunal de première instance ayant clos la procédure (art. 398 al. 1 CPP), les appels sont recevables.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 A ppel de C.________</w:t>
      </w:r>
    </w:p>
    <w:p>
      <w:r>
        <w:rPr>
          <w:b/>
        </w:rPr>
        <w:t>E. 2</w:t>
      </w:r>
    </w:p>
    <w:p>
      <w:r>
        <w:t>L'appelant C.________ fait valoir une constatation incomplète et erronée des faits.</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2.2</w:t>
      </w:r>
    </w:p>
    <w:p>
      <w:r>
        <w:t>C.________ prétend qu'il a exercé pendant le délai de résiliation une tâche administrative sans rapport avec une activité de conducteur de sorte que l'interdiction pour les conducteurs d'avoir une activité accessoire liée à la conduite ne le concerne pas. Il est vrai que, lors de la conclusion du contrat de travail avec Y.________SA, l'appelant était relégué à des tâches administratives. L'appelant perd toutefois de vue qu'il ne lui est pas reproché d'avoir accompli une activité accessoire de conducteur en plus d'une activité principale de conducteur, mais d'avoir travaillé pour un autre employeur, alors qu'il était en incapacité totale de travailler. Ce grief n'est donc pas pertinent.</w:t>
      </w:r>
    </w:p>
    <w:p>
      <w:r>
        <w:rPr>
          <w:b/>
        </w:rPr>
        <w:t>E. 2.3</w:t>
      </w:r>
    </w:p>
    <w:p>
      <w:r>
        <w:t>L'appelant reproche au premier juge d'avoir retenu qu'il avait travaillé à un taux d'activité de 40% sans qu'aucune preuve pertinente ne puisse établir ce taux d'activité. La constatation des faits retenus dans le jugement serait incomplète. En l'espèce, le jugement ne retient pas le taux d'activité de 40% tel quel, mais indique que celui-ci ressort des déclarations du prévenu lui-même, qui lors de sa première audition a dit que son taux d'occupation était de 40% au maximum et qu'il avait surtout été employé le week-end. Le jugement mentionne également qu'à l'audience le prévenu a contesté ce taux, expliquant que ce n'est pas lui qui avait émis ce chiffre. Ce grief n'est ainsi pas non plus pertinent. Au demeurant, l'état de fait du jugement de première instance a été complété par les pièces du dossier et celles requises d'office en procédure d'appel. Il en ressort, comme exposé ci-dessus (c. C 2.1) que C.________ a eu une activité rémunérée, en même qu'il touchait un salaire des B.________, respectivement une indemnité perte de gain de la P.________, entre le 24 mai et le 30 novembre 2008, et non entre le 1 er janvier et le 30 novembre 2008, comme l'a retenu le premier juge.</w:t>
      </w:r>
    </w:p>
    <w:p>
      <w:r>
        <w:rPr>
          <w:b/>
        </w:rPr>
        <w:t>E. 3</w:t>
      </w:r>
    </w:p>
    <w:p>
      <w:r>
        <w:t>L'appelant fait valoir que les éléments constitutifs de l'infraction d'escroquerie ne sont pas réalisés.</w:t>
      </w:r>
    </w:p>
    <w:p>
      <w:r>
        <w:rPr>
          <w:b/>
        </w:rPr>
        <w:t>E. 3.1</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ATF128 IV 18 c.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w:t>
      </w:r>
    </w:p>
    <w:p>
      <w:r>
        <w:rPr>
          <w:b/>
        </w:rPr>
        <w:t>E. 3.2</w:t>
      </w:r>
    </w:p>
    <w:p>
      <w:r>
        <w:t>On ne saurait reprocher au prévenu d'avoir cherché du travail alors qu'il venait d'être licencié et confiné à des tâches administratives; on ne saurait non plus lui reprocher d'avoir, en janvier 2008, un mois où il était apte au travail les quinze premiers jours, pris des contacts, voire eu une activité accessoire pour Y.________SA. Le fait qu'il devait l'annoncer à son employeur et qu'il ne l'a pas fait n'est pas à lui seul déterminant au niveau pénal, même s'il a ainsi enfreint des dispositions de son contrat. Ce n'est pas l'établissement de ce contrat fin janvier 2008 qui est déterminant, mais l'activité qu'a réellement exercée C.________ depuis mi-janvier 2008. Comme vu précédemment, à compter du 24 mai 2008, C.________ ne pouvait plus se prévaloir d'une incapacité totale de travailler vu qu'il a commencé à travailler effectivement pour Y.________SA. L’escroquerie ne peut être réalisée que pour la période où le délai de congé a été reporté en raison d’un certificat médical, pour autant que, durant cette période, le prévenu était capable d’avoir une activité lucrative. La tromperie consiste dans le fait que l’appelant a eu une activité professionnelle rémunérée, accessoire ou non, soit une capacité de travail intacte qu’elle soit partielle ou totale, et qu’il a pu mettre au service d’un autre employeur alors que des certificats médicaux attestent une incapacité totale de travailler. Cette tromperie est astucieuse dès lors que dans le cadre d’une relation de travail, les relations sont empreintes de confiance, et ceci d’autant plus lorsque comme en l’espèce, cette relation dure depuis plusieurs années. En outre, les certificats sont réputés exacts et on ne saurait attendre d’un employeur qu’il mette d’emblée en doute un certificat médical qui, par définition, jouit d’une force probante certaine. Au demeurant, l'appelant n'a pas informé son médecin du fait qu'il exerçait une activité professionnelle, devoir qui lui incombait. La tromperie et l'astuce ont pris fin, pour la P.________, dès la connaissance du résultat de l'expertise réalisée le 17 septembre 2008, soit le 18 septembre 2008, et pour les B.________ dès la connaissance de la lettre de la P.________, soit le 11 octobre 2008. Les autres éléments objectifs de l’infraction sont également réalisés. Il y a eu erreur, les B.________ et la P.________ se sont fiés aux certificats médicaux pour admettre l’incapacité totale de travailler de l’appelant. Il y a eu acte préjudiciable à leurs intérêts pécuniaires et dommage en lien de causalité avec celui-ci. En effet, entre le 24 mai et le 11 octobre 2008, les B.________ et la P.________ lui ont versé son salaire respectivement des indemnités pour perte de gain alors que le contrat de travail aurait dû prendre fin le 31 juillet 2008, compte tenu des délais de résiliation reportés à raison de sa maladie. S'agissant des éléments subjectifs de l'infraction, le prévenu conteste tout dessein d'enrichissement. Toutefois, force est de constater que, comme déjà relevé précédemment, C.________ a perçu, pendant plusieurs mois et en même temps, son salaire des B.________, respectivement une indemnité pour perte de gain de la P.________, ainsi que le revenu de son activité auprès de Y.________SA. En outre, C.________ a fait recours contre la décision de la P.________ lui demandant le remboursement de 24'235 fr. 20 pour les indemnités versées. Enfin, le prévenu a soutenu que son activité chez Y.________SA consistait en un "hobby". Toutefois, au vu de l'assiduité consacrée à cette activité, il y a lieu d'admettre que C.________ a agi avec un dessein d'enrichissement. Au surplus, il a caché à Y.________SA la situation dans laquelle il se trouvait prétextant qu'il compensait des heures supplémentaires. En conséquence, il y a eu escroquerie entre le 24 mai et le 18 septembre 2008 au détriment de la P.________ et du 24 mai au 11 octobre 2008 au détriment des B.________, l’activité délictueuse prenant fin au moment où ces derniers ont su qu’il était capable de travailler.</w:t>
      </w:r>
    </w:p>
    <w:p>
      <w:r>
        <w:rPr>
          <w:b/>
        </w:rPr>
        <w:t>E. 4</w:t>
      </w:r>
    </w:p>
    <w:p>
      <w:r>
        <w:t>L'appelant a conclu à son acquittement. Il conteste donc également la peine qui lui a été infligée.</w:t>
      </w:r>
    </w:p>
    <w:p>
      <w:r>
        <w:rPr>
          <w:b/>
        </w:rPr>
        <w:t>E. 4.1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4.2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Il s'agit de diminuer la faute et non la peine, la réduction de la peine n'étant que la conséquence de la faute plus légère (TF 6B_238/2009 du 8 mars 2010 c. 5.5 et 5.7).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 5.6).</w:t>
      </w:r>
    </w:p>
    <w:p>
      <w:r>
        <w:rPr>
          <w:b/>
        </w:rPr>
        <w:t>E. 4.3</w:t>
      </w:r>
    </w:p>
    <w:p>
      <w:r>
        <w:t>En l'occurrence, le premier juge a retenu, à charge, une activité délictueuse s'étant déroulée sur près d'une année, soit du 1 er janvier au 30 novembre 2008. Cette appréciation ne peut pas être suivie, l'infraction s'étant déroulée du 24 mai au 11 octobre 2008, soit sur une durée considérablement plus courte. La culpabilité du prévenu doit donc être réduite. Il convient de prendre en compte, à charge du prévenu, une prise de conscience tardive de la gravité de ses actes. En outre, C.________ est resté longtemps réfractaire à tout dédommagement des B.________. Il avait également recouru contre la décision de la P.________ lui demandant le remboursement des 24'235 fr. 20, avant d'accepter de la dédommager. A sa décharge, il y a lieu de retenir une responsabilité moyennement restreinte, conformément aux conclusions du rapport d'expertise. En outre, à décharge, il est tenu compte du fait que le prévenu a accepté d'indemniser les B.________ à l'audience d'appel du 20 juin 2012. Compte tenu de l'ensemble de ces circonstances, il convient de prononcer une peine pécuniaire de 150 jours-amende, le montant du jour-amende étant arrêté à 20 fr. au regard de la situation personnelle et économique du prévenu.</w:t>
      </w:r>
    </w:p>
    <w:p>
      <w:r>
        <w:rPr>
          <w:b/>
        </w:rPr>
        <w:t>E. 4.4</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 En l'espèce, le prévenu a accepté d'indemniser la P.________ et les B.________. En outre, un risque de récidive ne parait pas important selon l'expert. Ainsi, le pronostic n'apparaît pas défavorable et C.________ doit être mis au bénéfice du sursis. Le délai d'épreuve est fixé à deux ans. II. Appel des B.________</w:t>
      </w:r>
    </w:p>
    <w:p>
      <w:r>
        <w:rPr>
          <w:b/>
        </w:rPr>
        <w:t>E. 5</w:t>
      </w:r>
    </w:p>
    <w:p>
      <w:r>
        <w:t>Les B.________ ont retiré leur appel à l'audience du 20 juin 2012 à la suite de la transaction par laquelle C.________ s'est reconnu débiteur et s'est engagé à leur verser la somme de 15'000 fr. pour solde de tout compte et de toute prétention, tant en ce qui concerne le dommage matériel allégué par l'employeur que les dépens de première et deuxième instances auxquels ils prétendent. La Cour d'appel pénale en a pris acte, de sorte que les conclusions civiles des B.________ sont sans objet. Il n'y a donc plus lieu d'examiner les griefs invoqués.</w:t>
      </w:r>
    </w:p>
    <w:p>
      <w:r>
        <w:rPr>
          <w:b/>
        </w:rPr>
        <w:t>E. 6</w:t>
      </w:r>
    </w:p>
    <w:p>
      <w:r>
        <w:t>En définitive, l'appel de C.________ est partiellement admis en tant qu'il concerne la quotité de la peine. Vu l'issue de la cause, les frais d'appel doivent être mis par moitié à la charge de C.________ (art. 428 al. 1 CPP) le solde étant laissé à la charge de l'Etat. Outre l'émolument, qui se monte à 2'790 fr. (art. 21 al. 1 et 2 TFJP [Tarif des frais judiciaires pénaux du 28 septembre 2010, RSV 312.03.1]), les frais comprennent l’indemnité allouée au défenseur d’office de C.________. Au vu de la complexité de la cause, des opérations mentionnées dans la note d'honoraires, il convient d'admettre que le défenseur d'office de l'appelant a dû consacrer 15 heures à l'exécution de son mandat. L'indemnité sera dès lors arrêtée à 2'700 fr. et 50 fr. de débours, plus la TVA par 220 fr., soit un total de 2'970 fr., TVA et débours compris. Le prévenu ne sera tenu de rembourser à l’Etat la moitié du montant de l'indemnité en faveur de son défenseur d'office prévue ci-dessus que lorsque sa situation financière le permettra (art. 135 al. 4 let. a et 426 al. 4 CPP). La Cour d’appel pénale appliquant les articles 19 al. 2, 34, 42 al. 1, 44 al. 1, 47, 146 al. 1 CP, et 398 ss CPP prononce : I. L’appel formé par C.________ est partiellement admis. II. Le jugement rendu le 11 novembre 2011 par le Tribunal de police de l'arrondissement de La Côte est modifié comme il suit aux chiffres II, III, IV et V de son dispositif, le dispositif du jugement étant désormais le suivant : " I. Constate que C.________ s'est rendu coupable d'escroquerie; II. Condamne C.________ à une peine pécuniaire de 150 (cent cinquante) jours-amende, le montant du jour-amende étant arrêté à 20 fr.; III. Suspend l'exécution de la peine et fixe à C.________ un délai d'épreuve de 2 (deux) ans; IV. Prend acte de la transaction signée par les parties à l'audience du 20 juin 2012, dont la teneur est la suivante: "I. Sans reconnaissance de responsabilité pénale, C.________ se reconnaît débiteur des B.________SA (ci-après: B.________), pour solde de tout compte et de toute prétention tant en ce qui concerne le dommage matériel allégué par l'employeur que les dépens de première et deuxième instances auxquels ils prétendent, de la somme de 15'000 fr. (quinze mille francs). II. C.________ s'acquittera de ce montant en versant aux B.________SA un acompte de 12'000 fr. (douze mille francs) à fin juillet 2012 et le solde de 3'000 fr. (trois mille francs) à fin août 2012. III. Au vu de l'engagement qui précède, les B.________SA retirent leur plainte pénale à l'encontre de C.________ ainsi que leur appel dirigé contre le jugement du 11 novembre 2011 rendu par le Tribunal de police de l'arrondissement de La Côte." V. Supprimé; VI. Met les frais de la procédure, arrêtés à 11'235 fr. (onze mille deux cent trente cinq francs), à la charge de C.________; VII. Dit que le remboursement à l'Etat de l'indemnité de défenseur d'office de Mes Killias et Schütz, fixée à 2'800 fr. (deux mille huit cents francs) pour toutes choses, ne sera exigible que pour autant que la situation économique de C.________ le permette." III. Une indemnité de défenseur d'office pour la procédure d'appel d'un montant de 2'970 fr. (deux mille neuf cent septante francs ) est allouée à Me Pierre-Alain Killias. IV. Les frais d'appel, par 5'760 fr. (cinq mille sept cent soixante francs), y compris l'indemnité allouée au défenseur d'office, sont mis par moitié à la charge de C.________, soit par 2'880 fr. (deux mille huit cent huitante francs), le solde étant laissé à la charge de l’Etat. V. C.________ ne sera tenu de rembourser à l’Etat le montant de l’indemnité, mis à sa charge, en faveur de son conseil d’office prévue au ch. III ci-dessus que lorsque sa situation financière le permettra . VI. Le présent jugement est exécutoire. La présidente :              La greffière : Du 22 juin 2012 Le dispositif du jugement qui précède est communiqué aux appelants et aux autres intéressés. La greffière : Du La décision qui précède, dont la rédaction a été approuvée à huis clos, est notifiée, par l'envoi d'une copie complète, à : - Me Pierre-Alain Killias, avocat (pour C.________), - Me Stefan Disch, avocat (pour B.________SA), - Ministère public central, et communiquée à : ‑ Mme la Présidente de Tribunal de police de l'arrondissement de La Côte,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