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700 vom 11. Februar 2002</w:t>
      </w:r>
    </w:p>
    <w:p>
      <w:r>
        <w:t>VD Tribunal cantonal, 2002-02-11, FR</w:t>
      </w:r>
    </w:p>
    <w:p>
      <w:r>
        <w:rPr>
          <w:b/>
        </w:rPr>
        <w:t xml:space="preserve">Quelle: </w:t>
      </w:r>
      <w:r>
        <w:t>https://mcp.opencaselaw.ch/entscheid/vd_findinfo_D_cision___2012___700</w:t>
      </w:r>
    </w:p>
    <w:p>
      <w:r>
        <w:t>FR: VD_FINDINFO Décision / 2012 / 700 du 11 février 2002</w:t>
      </w:r>
    </w:p>
    <w:p>
      <w:r>
        <w:t>IT: VD_FINDINFO Décision / 2012 / 700 del 11 febbraio 2002</w:t>
      </w:r>
    </w:p>
    <w:p>
      <w:pPr>
        <w:pStyle w:val="Heading2"/>
      </w:pPr>
      <w:r>
        <w:t>Regeste</w:t>
      </w:r>
    </w:p>
    <w:p>
      <w:r>
        <w:t>EXÉCUTION DES PEINES ET DES MESURES, MESURE THÉRAPEUTIQUE INSTITUTIONNELLE, TRANSFERT{EN GÉNÉRAL} | 59 CP, 38 LEP, 393 CPP (CH)</w:t>
      </w:r>
    </w:p>
    <w:p>
      <w:pPr>
        <w:pStyle w:val="Heading2"/>
      </w:pPr>
      <w:r>
        <w:t>Erwägungen</w:t>
      </w:r>
    </w:p>
    <w:p>
      <w:r>
        <w:rPr>
          <w:b/>
        </w:rPr>
        <w:t>E. 3</w:t>
      </w:r>
    </w:p>
    <w:p>
      <w:r>
        <w:t>a) V.________ se plaint ensuite de difficultés linguistiques dans son établissement actuel qui nuiraient à l’évolution de sa thérapie. b) Dans leurs conclusions, les experts ont indiqué que s'il est vrai que le suivi psychothérapeutique serait meilleur s’il s’effectuait dans la langue maternelle de la recourante, la langue n’était toutefois pas le critère essentiel à la réussite. Or, comme la recourante est hispanique, les experts n’ont donc pas opté pour un traitement en français plutôt qu’en allemand, au demeurant langue de son environnement quotidien depuis 10 ans. L’expertise du 23 mai 2012 (p. 5) rappelle d’ailleurs que la recourante a notamment été suivie à Hindelbank par une psychologue et un médecin maîtrisant l’espagnol jusqu’au moment où elle a refusé de collaborer avec ceux-ci (cf. rapport du Service bernois de psychiatrie légale du 26 avril 2010, pp. 5 et 6), ce qui démontre que le fait que ce suivi ne puisse pas s'effectuer dans la langue maternelle de l'intéressée ne constitue pas le problème principal, mais qu'en réalité, comme l'ont relevé les experts, une partie non négligeable des difficultés qu'elle rencontre dans la thérapie est directement liée à sa maladie (expertise du 23 mai 2012, p. 15). On remarquera du reste que dans son rapport du 26 avril 2011, le Service bernois de psychiatrie légale a précisé qu'il disposait de collaborateurs pourvus des compétences linguistiques requises et que l'intéressée avait également été suivie par une psychologue s'exprimant en français. V.________ soutient que même si le corps médical d'Hindelbank s'exprime dans une langue qu'elle comprend – ce qu'elle admet finalement –, tel n'est pas le cas du personnel carcéral. Elle affirme à cet égard que c'est à l'encontre des surveillants, qui s'expriment en allemand et qu'elle ne comprendrait donc pas, qu'elle nourrit une crainte de persécution. Or, cet argument, que la prénommée n'a d'ailleurs pas soulevé dans son recours devant le Juge d'application des peines (P. 3), tombe à faux. En effet, force est de constater que malgré les difficultés relationnelles qu'elle évoque avec les surveillants (auxquelles s'ajoutent des relations conflictuelles avec ses codétenues), la recourante a fait preuve, au cours de ses premières années à Hindelbank, d'une bonne collaboration avec le personnel pénitentiaire, ce qui lui a même permis de débuter, en 2005, un pré-apprentissage dans le domaine de la couture (cf. rapports de la Direction de 2003 à 2006). L'argumentation de V.________ est au surplus en contradiction avec son propre raisonnement consistant à admettre, quelques lignes plus haut dans son recours, que c'est le rapport de confiance avec son entourage thérapeutique, qui nourrirait des préjugés à son encontre, qui est rompu et qui entraîne une péjoration de son état psychologique (cf. ég. P. 3, p. 8). Il ressort d'ailleurs du dossier que les problèmes d'intégration de l'intéressée sont apparus lorsque, dans le cadre de sa thérapie, elle a commencé à être confrontée à son délit (expertise du 3 décembre 2008, p. 10 in initio ; rapport de la Direction du 11 avril 2006), d'où la recommandation des experts d'aborder "la question de la violence, de l'agressivité, du délit" uniquement dans le cadre d'un long processus thérapeutique (expertise du 23 mai 2012, p. 11 in fine ; considérant 2.c, p. 8 supra ). Par conséquent, mal fondé, ce grief doit également être rejeté.</w:t>
      </w:r>
    </w:p>
    <w:p>
      <w:r>
        <w:rPr>
          <w:b/>
        </w:rPr>
        <w:t>E. 4</w:t>
      </w:r>
    </w:p>
    <w:p>
      <w:r>
        <w:t>a) Enfin, V.________ conclut subsidiairement à l'annulation de la décision entreprise, dans la mesure où il manque au dossier les éléments objectifs relatifs à sa sœur, éléments qui, selon elle, seraient nécessaires pour juger de l'opportunité de l'éventuelle intégration par cette dernière d'une institution non pénitentiaire et, partant, de la possibilité du transfert de la recourante à la Tuilière. b) Il est admis que n'entrent en ligne de compte pour exécuter la mesure ordonnée que les Prisons de la Tuilière et d'Hindelbank, seuls établissements d'exécution des peines et des mesures pour les femmes. Or, la présence de la sœur de la recourante à la Tuilière exclut d’y accueillir cette dernière, condamnée pour le même infanticide, comme l'a d'ailleurs relevé la CIC dans son avis du 27 janvier 2012. Au surplus, il n’y a pas à livrer à la recourante des indications sur l’évolution du traitement de sa parente ou son achèvement, indications tirées du dossier pénitentiaire de cette dernière. D’une part, le transfert à Lonay doit de toute manière être refusé pour les motifs développés sous chiffres 2 et 3 ci-avant, sans qu’il soit nécessaire d’examiner les mesures organisationnelles que la Prison de la Tuilière pourrait prendre pour éviter les contacts entre les deux sœurs, ce qui rend inutile la réquisition de pièces. D’autre part, la protection des données, du secret médical et du secret de fonction interdit de transmettre les renseignements souhaités. Partant, le recours doit également être rejeté sur ce point.</w:t>
      </w:r>
    </w:p>
    <w:p>
      <w:r>
        <w:rPr>
          <w:b/>
        </w:rPr>
        <w:t>E. 5</w:t>
      </w:r>
    </w:p>
    <w:p>
      <w:r>
        <w:t>a) En définitive, le recours, manifestement mal fondé, doit être rejeté sans autres échanges d’écritures (art. 390 al. 2 CPP) et la décision du Juge d'application des peines confirmée. b) L’avocat Eric Reynaud, qui avait été désigné le 19 avril 2012 comme défenseur d’office de la recourante,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c) Les frais de la procédure de recours, constitués en l’espèce de l’émolument d'arrêt, par 1'320 fr. (art. 20 al. 1 TFJP; RSV 312.03.1), et des frais imputables à la défense d’office (art. 422 al. 1 et 2 let. a CPP), fixés à 720 fr. plus la TVA par 57 fr. 60,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La décision attaquée est confirmée. III. L'indemnité allouée au défenseur d'office de V.________ est fixée à 777 fr. 60 (sept cent septante-sept francs et soixante centimes). IV. Les frais d'arrêt, par 1'320 fr. (mille trois cent vingt francs), ainsi que l'indemnité due au défenseur d'office de V.________, par 777 fr. 60 (sept cent septante-sept francs et soixante centimes), sont mis à la charge de cette dernière. V. Le remboursement à l'Etat de l'indemnité allouée au chiffre III ci-dessus sera exigible pour autant que la situation économique de V.________ se soit améliorée. VI. L'arrêt est exécutoire. Le président :               Le greffier : Du L'arrêt qui précède, dont la rédaction a été approuvée à huis clos, est notifié, par l'envoi d'une copie complète, à : - M. Eric Reynaud, avocat (pour V.________), - Ministère public central, et communiqué à : ‑ Mme la Juge d'application des peines, - Office d'exécution des peines (Réf.: OEP/MES/17217/AVI/ipe), - Etablissements pénitentiaires d'Hindelbank,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