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664 vom 13. August 2012</w:t>
      </w:r>
    </w:p>
    <w:p>
      <w:r>
        <w:t>VD Tribunal cantonal, 2012-08-13, FR</w:t>
      </w:r>
    </w:p>
    <w:p>
      <w:r>
        <w:rPr>
          <w:b/>
        </w:rPr>
        <w:t xml:space="preserve">Quelle: </w:t>
      </w:r>
      <w:r>
        <w:t>https://mcp.opencaselaw.ch/entscheid/vd_findinfo_D_cision___2012___664</w:t>
      </w:r>
    </w:p>
    <w:p>
      <w:r>
        <w:t>FR: VD_FINDINFO Décision / 2012 / 664 du 13 août 2012</w:t>
      </w:r>
    </w:p>
    <w:p>
      <w:r>
        <w:t>IT: VD_FINDINFO Décision / 2012 / 664 del 13 agosto 2012</w:t>
      </w:r>
    </w:p>
    <w:p>
      <w:pPr>
        <w:pStyle w:val="Heading2"/>
      </w:pPr>
      <w:r>
        <w:t>Regeste</w:t>
      </w:r>
    </w:p>
    <w:p>
      <w:r>
        <w:t>EXÉCUTION ANTICIPÉE DE LA PEINE, RISQUE DE COLLUSION, MOTIVATION DE LA DÉCISION | 236 CPP (CH)</w:t>
      </w:r>
    </w:p>
    <w:p>
      <w:pPr>
        <w:pStyle w:val="Heading2"/>
      </w:pPr>
      <w:r>
        <w:t>Erwägungen</w:t>
      </w:r>
    </w:p>
    <w:p>
      <w:r>
        <w:rPr>
          <w:b/>
        </w:rPr>
        <w:t>E. 1</w:t>
      </w:r>
    </w:p>
    <w:p>
      <w:r>
        <w:t>a)              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 Thiriet, in : Niggli/Heer/Wiprächtiger [éd.], Basler Kommentar, Schweizerische Strafprozessordnung, Jugendstrafprozessordnung, Bâle 2011, n. 10 ad art. 393 CPP; Hug, in : Donatsch/Hansjakob/Lieber [éd.], Kommentar zur Schweizerischen Strafprozessordnung, 2010, n. 17 ad art. 236 CPP; CREP 4 juillet 2012/298 c. 1a).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le recours a été interjeté en temps utile, la décision ayant été reçue par le défenseur du prévenu le lundi 16 juillet 2012. Il a en outre été déposé devant l’autorité compétente et satisfait aux conditions de forme posées par l’art. 385 al. 1 CPP. Il y a donc lieu d’entrer en matière.</w:t>
      </w:r>
    </w:p>
    <w:p>
      <w:r>
        <w:rPr>
          <w:b/>
        </w:rPr>
        <w:t>E. 2</w:t>
      </w:r>
    </w:p>
    <w:p>
      <w:r>
        <w:t>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(Härri, in : Niggli/Heer/Wiprächtiger (éd.), Basler Kommentar, op. cit., n. 4 ad art. 236 CPP et les réf. cit.). Dans le canton de Vaud, les modalités d’exécution figurent dans la loi du 7 novembre 2006 sur l’exécution de la détention avant jugement (LEDJ; RSV 312.07). b) De par sa nature, l’exécution anticipée des peines et des mesures de l’art. 236 CPP est une mesure de contrainte de la procédure pénale qui se classe à la limite entre la poursuite pénale et l’exécution de la peine; elle doit permettre d’offrir à l’accusé de meilleures chances de resocialisation dans le cadre de l’exécution de la peine avant même que le jugement n’entre en force (TF 1B_90/2012 du 21 mars 2012 c. 2.2; TF 1B_18/2012 du 27 janvier 2012 c. 2; ATF 133 I 270 c. 3.2.1, JT 2011 IV 3). La poursuite de la détention sous la forme de l’exécution anticipée de la peine suppose l’existence d’un motif de détention provisoire particulier, comme par exemple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op. cit.,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Härri, op. cit., n. 18 ad art. 236 CPP et les réf. cit.; Robert-Nicoud, op. cit., n. 5 ad art. 236 CPP et les réf. cit.; cf. Hug, op. cit., n. 9 ad art. 236 CPP et les réf. cit.). L’art. 236 al. 4 CPP a cependant introduit dans la loi une réserve que connaissait la jurisprudence s’agissant du régime auquel le prévenu est soumis :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leur famille et d’autres personnes ainsi que recevoir des visites – a du reste été supprimé à l’entrée en vigueur du Code de procédure pénale. C’est dire que l’autorisation d’exécuter une peine de manière anticipée ne saurait être refusée in abstracto en raison du risque de collusion; bien plutôt, selon le Tribunal fédéral (TF 1B_415/2012 du 25 juillet 2012; TF 1B_ 90/2012 du 21 mars 2012 c. 2.2), l’autorité doit, d’une part, étayer ce risque par des faits concrets et précis et, d’autre part, examiner si le régime de la détention, même restreint en application de l’art. 236 al. 4 CPP – par exemple au niveau des visites (art. 235 al. 2 CPP), du contrôle du courrier et du téléphone (art. 235 al. 3 CPP; cf. Härri, op. cit., n. 25 à 27 ad art. 236 CPP et les réf. cit., en particulier ad n. 27) –, laisse subsister un trop grand risque de collusion et met en danger le but de l’instruction.</w:t>
      </w:r>
    </w:p>
    <w:p>
      <w:r>
        <w:rPr>
          <w:b/>
        </w:rPr>
        <w:t>E. 3</w:t>
      </w:r>
    </w:p>
    <w:p>
      <w:r>
        <w:t>Dans le cas particulier, le refus de l'exécution anticipée de la peine privative de liberté présumable se fonde sur le seul risque de collusion, ce en relation avec le brigandage du 11 mars 2011. L’instruction de la cause PE11.018283-YBL a débuté il y a plus de neuf mois, le prévenu et ses comparses ayant été arrêtés en flagrant délit le 27 octobre 2011. Auditionné le jour de son interpellation, le prévenu a admis les faits qui lui étaient reprochés, tout en étant également disert quant au mode opératoire et au rôle de ses comparses. Il a par la suite, soit le 2 novembre 2011, également avoué sa participation au brigandage commis à la gare de Nyon le 11 mars précédent. Il a cependant nié que les personnes arrêtées en sa compagnie y eussent participé. Aucun élément du dossier ne paraît en l'état les impliquer dans ce brigandage. Pour l'heure, il ne semble pas davantage que l'ampleur de l'activité délictueuse qui pourrait être imputable au recourant excède les infractions dont il a avoué être l'auteur, respectivement le coauteur ou le complice, même si l'on ne connaît pas l'étendue du mandat d'investigation conféré à la police (P. 54, retirée du dossier en application de l'art. 108 CPP). Certes, les deux comparses ayant pris part aux faits survenus le 11 mars 2011 n'ont apparemment pas été appréhendés, même si l'un d'eux a été identifié par ses traces biologiques. On ne peut donc exclure que le recourant soit réentendu sur les faits, ce d'autant qu'il a dit ne pas connaître son comparse déjà connu (PV aud. 11, p. 5, R. 10). Néanmoins, aucune mesure d'instruction significative n'a été accomplie depuis plusieurs semaines dans l'enquête PE11.003615-YBL ou PE11.018283-YBL (promise à être jointes), s'agissant notamment d'auditions. En particulier, comme le relève le Tribunal des mesures de contrainte dans son ordonnance du 25 juillet 2012, il ressort du procès-verbal qu'à l'exception de quelques fiches de séquestre versées au dossier, aucune mesure d'instruction n'a été menée dans la cause PE11.018283-YBL depuis le 18 avril 2012. On se trouve donc à un stade de la procédure proche de la clôture de l’instruction, où la présence constante du prévenu à la disposition des enquêteurs n'est plus immédiatement nécessaire à l’administration des preuves. Il en découle qu'à ce stade, une exécution anticipée de la peine serait possible. Le risque de collusion invoqué par la Procureure est peu étayé. Elle ne précise notamment pas en quoi un danger de collusion existerait concrètement, d’une part, et en quoi une restriction du régime ordinaire de la détention au sens de l’art. 236 al. 4 CPP ne serait pas de nature à parer ce danger, d'autre part. La cause doit dès lors être renvoyé à la Procureure afin que celle-ci rende une nouvelle décision dans le sens des considérants.</w:t>
      </w:r>
    </w:p>
    <w:p>
      <w:r>
        <w:rPr>
          <w:b/>
        </w:rPr>
        <w:t>E. 4</w:t>
      </w:r>
    </w:p>
    <w:p>
      <w:r>
        <w:t>Il résulte de ce qui précède que le recours est admis dans ses conclusions subsidiaires et la décision entreprise annulée. Les frais de la procédure de recours, constitués en l’espèce de l'émolument d'arrêt, par 770 fr. (art. 20 al. 1 TFJP [Tarif des frais judiciaires pénaux du 28 septembre 2010, RSV 312.03.1]), ainsi que les frais imputables à la défense d'office (art. 422 al. 1 et 2 let. a CPP), fixés à 720 fr., débours inclus, plus la TVA, par 57 fr. 60, soit 777 fr. 60, sont laissés à la charge de l'Etat. Par ces motifs, la Chambre des recours pénale, statuant à huis clos prononce : I. Le recours est admis. II. La décision du 13 juillet 2012 est annulée. III. Le dossier de la cause est renvoyé au Ministère public de l'arrondissement de Lausanne pour qu'il rende une nouvelle décision dans le sens des considérants. IV. L'indemnité allouée au défenseur d'office de G.________ est fixée à 777 fr. 60 (sept cent septante-sept francs et soixante centimes), débours et TVA compris, pour la présente procédure de recours. V. Les frais du présent arrêt, par 880 fr. (huit cent huitante francs), ainsi que l'indemnité allouée au défenseur d'office du recourant, par 777 fr. 60 (sept cent septante-sept francs et soixante centimes), sont laissés à la charge de l'Etat. VI. Le présent arrêt est exécutoire. Le président :               Le greffier : Du L'arrêt qui précède, dont la rédaction a été approuvée à huis clos, est notifié, par l'envoi d'une copie complète, à : - Mme Miriam Mazou, avocate (pour G.________), - Ministère public central, et communiqué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