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644 vom 3. August 2012</w:t>
      </w:r>
    </w:p>
    <w:p>
      <w:r>
        <w:t>VD Tribunal cantonal, 2012-08-03, FR</w:t>
      </w:r>
    </w:p>
    <w:p>
      <w:r>
        <w:rPr>
          <w:b/>
        </w:rPr>
        <w:t xml:space="preserve">Quelle: </w:t>
      </w:r>
      <w:r>
        <w:t>https://mcp.opencaselaw.ch/entscheid/vd_findinfo_D_cision___2012___644</w:t>
      </w:r>
    </w:p>
    <w:p>
      <w:r>
        <w:t>FR: VD_FINDINFO Décision / 2012 / 644 du 3 août 2012</w:t>
      </w:r>
    </w:p>
    <w:p>
      <w:r>
        <w:t>IT: VD_FINDINFO Décision / 2012 / 644 del 3 agosto 2012</w:t>
      </w:r>
    </w:p>
    <w:p>
      <w:pPr>
        <w:pStyle w:val="Heading2"/>
      </w:pPr>
      <w:r>
        <w:t>Regeste</w:t>
      </w:r>
    </w:p>
    <w:p>
      <w:r>
        <w:t>CLASSEMENT DE LA PROCÉDURE, VIOLATION DE DOMICILE, COMPLÉMENT, ENQUÊTE PÉNALE, ILLICÉITÉ, OUVERTURE DE LA PROCÉDURE | 14 CP, 186 CP,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 En d'autres termes, il faut que le comportement dénoncé apparaisse d’emblée comme non punissable (Cornu, op. cit., n. 10 ad art. 310 CPP). Au vu de ce qui précède, on doit admettre qu'une ordonnance de non-entrée en matière peut également être rendue lorsqu'il apparaît d'emblée que l'inculpé pourra se prévaloir d'un fait justificatif, puisque, de fait, son comportement apparaît ainsi également comme non punissable (CREP du 7 mai 2012/299).</w:t>
      </w:r>
    </w:p>
    <w:p>
      <w:r>
        <w:rPr>
          <w:b/>
        </w:rPr>
        <w:t>E. 3</w:t>
      </w:r>
    </w:p>
    <w:p>
      <w:r>
        <w:t>a) 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b)              En l'espèce, l'intrusion de la police dans le domicile de R.________ semble a priori remplir les conditions légales de l'infraction de violation de domicile. A cet égard, il y a lieu de relever que le consentement du fils du recourant contenu dans le document intitulé "visite de police" (P. 5/2), et signé par celui-ci, ne permet pas de justifier l'intrusion des agents de police chez R.________, dès lors que le fils du prénommé ne vit plus avec son père et que son consentement ne saurait donc porter sur le logement d'un tiers, fût-il son père. Aucune des conditions de l'art. 186 CP n'apparaissant d'emblée exclue, le seul motif encore susceptible de justifier une ordonnance de non-entrée en matière serait qu'il apparaisse d'emblée que les agents de police puissent se prévaloir d'un fait justificatif.</w:t>
      </w:r>
    </w:p>
    <w:p>
      <w:r>
        <w:rPr>
          <w:b/>
        </w:rPr>
        <w:t>E. 4</w:t>
      </w:r>
    </w:p>
    <w:p>
      <w:r>
        <w:t>a) Selon l'art. 14 CP, quiconque agit comme la loi l'ordonne ou l’autorise se comporte de manière licite, même si l’acte est punissable en vertu du code pénal ou d’une autre loi. Aux termes de l'art. 213 al. 2 CPP, la police peut pénétrer dans des locaux sans mandat de perquisition lorsqu’il y a péril en la demeure. b) A ce stade, la question de savoir si la situation répondait aux conditions du péril en la demeure au sens de l'art. 213 al. 2 CP au moment où les agents de la Police de Morges ont pénétré au domicile de R.________ peut rester ouverte. En effet, quelle que soit la réponse à cette première question, il y a lieu de constater qu'il n'y avait en tout cas plus péril en la demeure lorsque les agents de la police cantonale sont entrés dans l'habitation du recourant, puisque les agents de la Police de Morges avaient pu exclure la présence du recourant en ses murs; il n'y avait dès lors plus – à ce moment à tout le moins – de motif d'agir sans obtenir préalablement – ne serait-ce qu'oralement – le mandat de perquisition nécessaire (art. 213 al. 1 et 241ss CPP). Le fait que les agents de la police cantonale aient repris l'enquête ouverte par la Police de Morges à la suite de la découverte fortuite de la drogue conformément aux dispositions réglant les compétences entre les différents corps de police n'est pas susceptible de modifier ces considérations. En effet, on ne voit pas – à tout le moins pas d'emblée – quelle mesure d'instruction ne pouvait pas souffrir du délai d'attente somme toute relativement court nécessaire à la police cantonale pour l'obtention du mandat de perquisition nécessaire. En conséquence, c'est à tort que le Procureur a d'emblée considéré que les agents de police pouvaient se prévaloir du motif justificatif tiré de l'art. 14 CP et il existe, à ce stade de la procédure, des soupçons suffisants pour laisser présumer qu'une infraction a été commise (cf. art. 309 al. 1 let. a CPP).</w:t>
      </w:r>
    </w:p>
    <w:p>
      <w:r>
        <w:rPr>
          <w:b/>
        </w:rPr>
        <w:t>E. 5</w:t>
      </w:r>
    </w:p>
    <w:p>
      <w:r>
        <w:t>a) Le recours sera donc admis et l'ordonnance de non-entrée en matière du 6 juillet 2012 annulée. Le dossier de la cause sera renvoyé au Ministère public de l’arrondissement de La Côte pour qu'il ouvre une instruction, puis rende une nouvelle décision. b) Dans la mesure où le recourant demande que la cause soit désormais instruite par un autre magistrat du Ministère public, il paraît solliciter la récusation du Procureur en charge du dossier. Si telle devait être son intention, il lui incombe de suivre la procédure prévue à l'art. 58 CPP, qui dispose que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 S'agissant de la demande d'assistance judiciaire pour la procédure de recours, et au vu des pièces produites (P. 11), les conditions de l'art. 136 al. 2 let. c CPP ne sont pas réunies (cf. CREP 3 août 2012/489 concernant la même affaire), et celle-ci sera refusée à R.________. En ce qui concerne les dépens réclamés par le recourant, ils suivent le sort de la cause au fond (art. 433 CPP; Mizel/Rétornaz, in Kuhn/Jeanneret (éd.), op. cit., n. 13 ad art. 433 CPP; CREP 5 juillet 2011/346). Enfin, les frais du présent arrêt, par 660 fr. (art. 20 al. 1 TFJP [Tarif des frais judiciaires pénaux du 28 septembre 2010, RSV 312.03.1]), doivent être laissés à la charge de l'Etat (art. 428 al. 4 CPP). Par ces motifs, la Chambre des recours pénale, statuant à huis clos prononce : I. Le recours est admis. II. L'ordonnance est annulée et la cause est renvoyée au Ministère public de l’arrondissement de La Côte pour qu'il ouvre une instruction et qu'il rende une nouvelle décision. III. La requête de R.________ tendant à l'octroi de l'assistance judiciaire pour la procédure de recours est rejetée. IV. Les frais d'arrêt, par 660 fr. (six cent soixante francs), sont laissés à la charge de l'Etat. V. L'arrêt est exécutoire. Le président :               La greffière : Du L'arrêt qui précède, dont la rédaction a été approuvée à huis clos, est notifié, par l'envoi d'une copie complète, à : - M. Mathias Keller, avocat (pour R.________)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