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643 vom 3. August 2012</w:t>
      </w:r>
    </w:p>
    <w:p>
      <w:r>
        <w:t>VD Tribunal cantonal, 2012-08-03, FR</w:t>
      </w:r>
    </w:p>
    <w:p>
      <w:r>
        <w:rPr>
          <w:b/>
        </w:rPr>
        <w:t xml:space="preserve">Quelle: </w:t>
      </w:r>
      <w:r>
        <w:t>https://mcp.opencaselaw.ch/entscheid/vd_findinfo_D_cision___2012___643</w:t>
      </w:r>
    </w:p>
    <w:p>
      <w:r>
        <w:t>FR: VD_FINDINFO Décision / 2012 / 643 du 3 août 2012</w:t>
      </w:r>
    </w:p>
    <w:p>
      <w:r>
        <w:t>IT: VD_FINDINFO Décision / 2012 / 643 del 3 agosto 2012</w:t>
      </w:r>
    </w:p>
    <w:p>
      <w:pPr>
        <w:pStyle w:val="Heading2"/>
      </w:pPr>
      <w:r>
        <w:t>Regeste</w:t>
      </w:r>
    </w:p>
    <w:p>
      <w:r>
        <w:t>ASSISTANCE JUDICIAIRE, DÉFENSE D'OFFICE | 136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Une personne est indigente (cf.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op. cit., n. 34 ad art. 132 CPP). En l’espèce, il résulte des pièces produites à l'appui de la demande d'assistance judiciaire gratuite (P. 12) que le recourant a perçu de l'assurance-chômage, entre septembre 2011 et février 2012, des indemnités comprises entre 2'592 fr. 45 et 4'400 fr. 65, pour un total de 23'178 fr. 75. Pour la période considérée, avant l'incarcération du recourant, son revenu moyen s'établit ainsi à 3'863 fr. 15. (23'178 fr. 75/6), voire à 2'897 fr. 35, si l'on étend la période de référence aux mois de mars et avril 2012, pendant lesquels, détenu, l'intéressé n'a bénéficié d'aucun revenu (23'178 fr. 75/8). Quant aux charges mensuelles du recourant, elles comprennent le minimum vital (1'200 fr.), le loyer (1'227 fr.), le loyer de la place de parc (50 fr.), les primes d'assurance-maladie obligatoire (251 fr. 20), les acomptes d'impôt (273 fr. 05), les mensualités d'un crédit à la consommation (379 fr. 05), la contribution d'entretien (1'000 fr.) et une participation à des frais liés à l'éducation de ses deux enfants (200 fr.), ce qui donne un total de 4'580 fr. 30. Les charges du recourant, dont on peut admettre qu'il les acquitte, dépassent donc ses revenus pour la période déterminante, a fortiori si l'on tient compte de sa dette de 1'460 fr. envers [...] et [...]. L'indigence du recourant est ainsi établie. Elle a d'ailleurs été admise dans le cadre de l’instruction pénale dirigée contre lui pour infraction à la LStup (PE12.004979-PVU). Le recours doit donc être partiellement admis en ce sens que l’assistance judiciaire est accordée au recourant sous la forme de l’exonération d’avances de frais et de sûretés (art. 136 al. 2 let. a CPP) et de l’exonération des frais de procédure (art. 136 al. 2 let. b CPP).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 art. 136 CPP). A cet égard,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 cf. ATF 123 I 145 c. 3b ; Mazzuchelli/ Postizzi, op. cit., n. 18 ad art. 136 CPP et les références citées). En l’espèce, quoi qu’en dise le recourant (recours, pp. 6-7), l’affaire n’est pas complexe et ne nécessite pas l’assistance d’un avocat pour demander la réparation du dommage causé à la porte de l’appartement lors de l’intervention du serrurier auquel la police a fait appel, ou une indemnité pour le tort moral causé par l’intrusion dans sa sphère privée. Quant au dommage résultant de l’ouverture contre lui d’une instruction pénale pour infraction à la LStup (PE12.004979-PVU) et de la détention provisoire subie dans ce cadre, il devra en être demandé réparation dans le cadre de la procédure PE12.004979-PVU, sur la base de l’art. 429 CPP, procédure dans laquelle, on le rappelle, un défenseur d'office a été nommé au recourant. Aussi n'y a-t-il pas de place, dans le cadre de la présente procédure, pour des prétentions civiles liées à la réparation d’un prétendu dommage « subi du fait de la procédure pénale ouverte à son encontre pour lequel il ne serait pas indemnisé en vertu de l’art. 429 CPP, notamment en cas de réduction de cette indemnité selon l’art. 430 CPP » (cf. recours, pp. 6-7).</w:t>
      </w:r>
    </w:p>
    <w:p>
      <w:r>
        <w:rPr>
          <w:b/>
        </w:rPr>
        <w:t>E. 3</w:t>
      </w:r>
    </w:p>
    <w:p>
      <w:r>
        <w:t>Il résulte de ce qui précède que le recours doit être partiellement admis et l’ordonnance de refus de l’assistance judiciaire gratuite pour la partie plaignante rendue le 22 juin 2012 par le Procureur de La Côte réformée en ce sens que l’assistance judiciaire est accordée au recourant sous la forme de l’exonération d’avances de frais et de sûretés (art. 136 al. 2 let. a CPP) et de l’exonération des frais de procédure (art. 136 al. 2 let. b CPP). En revanche, le refus de désignation d’un conseil juridique gratuit doit être confirmé. Vu l’octroi de l’assistance judiciaire et le sort du recours, les frais de la procédure de recours, constitués en l’espèce du seul émolument d'arrêt, par 660 fr. (art. 20 al. 1 TFJP [tarif des frais judiciaires pénaux; RSV 312.03.1]), seront laissés à la charge de l’Etat (art. 428 al. 1 CPP). Compte tenu du sort du recours, la requête de désignation d’un conseil juridique gratuit pour la procédure de recours doit être rejetée. Il n’y a pas lieu d’allouer une indemnité pour la procédure de recours, les dépens réclamés à ce titre suivant le sort de la cause au fond (cf. art. 433 CPP; Mizel/Rétornaz, in Kuhn/Jeanneret (éd.), op. cit., n. 13 ad art. 433 CPP; CREP 5 juillet 2012/451; CREP 20 avril 2012/404; CREP 5 juillet 2011/346). Par ces motifs, la Chambre des recours pénale, statuant à huis clos prononce : I. Le recours est admis. II. L'ordonnance rendue le 22 juin 2012 par le Procureur de l'arrondissement de La Côte est réformée comme il suit : I. L’assistance judiciaire est accordée au recourant sous la forme de l’exonération d’avances de frais et de sûretés et de l’exonération des frais de procédure. II. La requête de désignation d’un conseil juridique gratuit est rejetée. III. Les frais suivent le sort de la cause. III. Les frais d'arrêt, par 660 fr. (six cent soixante francs), sont laissés à la charge de l'Etat. IV. Toutes autres conclusions sont rejetées. V. L'arrêt est exécutoire. Le président :               La greffière : Du L'arrêt qui précède, dont la rédaction a été approuvée à huis clos, est notifié, par l'envoi d'une copie complète, à : - M. Mathias Keller, avocat (pour G.________)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