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634 vom 9. November 2011</w:t>
      </w:r>
    </w:p>
    <w:p>
      <w:r>
        <w:t>VD Tribunal cantonal, 2011-11-09, FR</w:t>
      </w:r>
    </w:p>
    <w:p>
      <w:r>
        <w:rPr>
          <w:b/>
        </w:rPr>
        <w:t xml:space="preserve">Quelle: </w:t>
      </w:r>
      <w:r>
        <w:t>https://mcp.opencaselaw.ch/entscheid/vd_findinfo_D_cision___2012___634</w:t>
      </w:r>
    </w:p>
    <w:p>
      <w:r>
        <w:t>FR: VD_FINDINFO Décision / 2012 / 634 du 9 novembre 2011</w:t>
      </w:r>
    </w:p>
    <w:p>
      <w:r>
        <w:t>IT: VD_FINDINFO Décision / 2012 / 634 del 9 novembre 2011</w:t>
      </w:r>
    </w:p>
    <w:p>
      <w:pPr>
        <w:pStyle w:val="Heading2"/>
      </w:pPr>
      <w:r>
        <w:t>Regeste</w:t>
      </w:r>
    </w:p>
    <w:p>
      <w:r>
        <w:t>ORDONNANCE DE SÉQUESTRE | 70 CP, 71 CP, 197 al.1 CPP (CH), 263 CPP (CH)</w:t>
      </w:r>
    </w:p>
    <w:p>
      <w:pPr>
        <w:pStyle w:val="Heading2"/>
      </w:pPr>
      <w:r>
        <w:t>Erwägungen</w:t>
      </w:r>
    </w:p>
    <w:p>
      <w:r>
        <w:rPr>
          <w:b/>
        </w:rPr>
        <w:t>E. 1</w:t>
      </w:r>
    </w:p>
    <w:p>
      <w:r>
        <w:t>CPP).</w:t>
      </w:r>
    </w:p>
    <w:p>
      <w:r>
        <w:rPr>
          <w:b/>
        </w:rPr>
        <w:t>E. 2</w:t>
      </w:r>
    </w:p>
    <w:p>
      <w:r>
        <w:t>a) En vertu de l'art. 263 al. 1 CPP, des objets et des valeurs patrimoniales appartenant au prévenu ou à des tiers peuvent être mis sous séquestre, lorsqu'il est probable qu'ils seront utilisés comme moyens de preuve (let. a), qu’ils seront utilisés pour garantir le paiement des frais de procédure, des peines pécuniaires, des amendes et des indemnités (let. b), qu’ils devront être restitués au lésé (let. c) ou qu'ils devront être confisqués (let. d). b) Conformément à l'art. 197 al. 1 CPP, le séquestre ne peut être ordonné qu'aux conditions suivantes: la mesure est prévue par la loi (let. a); des soupçons suffisants laissent présumer une infraction (let. b); les buts poursuivis ne peuvent pas être atteints par des mesures moins sévères (let. c) et la mesure apparaît justifiée au regard de la gravité de l'infraction (let. d) (Lembo/Julen Berthod, in: Kuhn/Jeanneret (éd.), Commentaire romand, Code de procédure pénale suisse, Bâle 2011, n. 17 ad art. 263 CPP ; Bommer/Goldschmid, in: Niggli/Heer/Wiprächtiger (éd.), Basler Kommentar, Schweizerische Strafprozessordnung, Jugendstrafprozessordnung, Bâle 2011, n. 11 à 15 ante art. 263-268 CPP). c) En outre, il doit exister un rapport de connexité entre l'objet séquestré et l'infraction poursuivie (principe de spécialité) s’il s’agit d’un séquestre conservatoire (cf. art. 263 al. 1 let. d CPP ; sur cette notion, voir Lembo/Julen Berthod, op. cit., nn. 7 à 11 ad art. 263 CPP) – à l’exception du cas où le séquestre est ordonné en vue de l’exécution d’une créance compensatrice (Lembo/Julen Berthod, op. cit., n. 24 ad art. 263 CPP) – ou d’un séquestre en vue de restitution au lésé (Lembo/Julen Berthod, op. cit., n. 17 ad art. 263 CPP). Ce lien de connexité existe lorsque l'objet séquestré est en relation directe avec l'infraction, qu'il ait servi à la commettre ou en soit le produit (Lembo/Julen Berthod, op. cit., n. 24 ad art. 263 CPP ; CREP 4 août 2011/292). d) Pour que le séquestre soit conforme au principe de proportionnalité (cf. art. 197 al. 1 let. c et d CPP et art. 36 al. 3 Cst. [Constitution fédérale de la Confédération suisse; RS 101]), il doit être apte à produire les résultats escomptés (règle de l’aptitude), ces derniers ne pouvant pas être atteints par une mesure moins incisive (règle de la nécessité); il faut, en outre, que la mesure n’emporte pas de limitation allant au-delà du but visé; enfin, il doit exister un rapport raisonnable entre le séquestre et les intérêts privés compromis, eu égard à la gravité de l’infraction et des charges qui pèsent sur le prévenu (principe de la proportionnalité au sens étroit) (Lembo/Julen Berthod, op. cit., n. 23 ad art. 263 CPP ; Bommer/Goldschmid, op. cit., n. 23 ad art. 263 CPP).</w:t>
      </w:r>
    </w:p>
    <w:p>
      <w:r>
        <w:rPr>
          <w:b/>
        </w:rPr>
        <w:t>E. 3</w:t>
      </w:r>
    </w:p>
    <w:p>
      <w:r>
        <w:t>a) La recourante ne conteste à juste titre pas la réalisation des conditions de l'art. 197 al. 1 let. a et b CPP, à savoir que la mesure est prévue par la loi et qu’il existe des soupçons suffisants laissant présumer une infraction. Elle fait en revanche valoir que ne seraient réunies en l’espèce ni les conditions d’un séquestre en vue de restitution au lésé (cf. art. 263 al. 1 let. c CPP), dès lors que personne ne s’est vu soustraire directement du fait d’une infraction la part de copropriété séquestrée (recours, p. 5-6), ni les conditions d’un séquestre en vue de confiscation (cf. art. 263 al. 1 let. d CPP), dès lors qu’un tel séquestre ne doit pas servir à contourner les cautèles de l’art. 44 LP, sous peine d’offrir à la partie plaignante un privilège indu par rapport aux autres créanciers (recours, p. 6-8). En outre, la recourante soutient qu’un séquestre en vue de couverture des frais (cf. art. 263 al. 1 let. b CPP) violerait le principe de proportionnalité, dès lors qu’on peine à imaginer que les frais puissent atteindre la valeur de la part de copropriété séquestrée (recours, p. 8-10). b) Il est constant que les conditions d’un séquestre en vue de restitution au lésé (cf. art. 263 al. 1 let. c CPP) ne sont pas remplies en l’espèce faute de lien de connexité, dès lors que personne ne s’est vu soustraire directement, du fait d’une infraction reprochée à la recourante, la part de copropriété séquestrée. Il convient donc d’examiner si les conditions d’un séquestre en vue de l’exécution d’une créance compensatrice (cf. art. 263 al. 1 let. d CPP) ou d’un séquestre en couverture des frais (cf. art. 263 al. 1 let. b CPP), tels qu’invoqués par le Ministère public, sont réalisées (cf. c. 4 et 5 infra).</w:t>
      </w:r>
    </w:p>
    <w:p>
      <w:r>
        <w:rPr>
          <w:b/>
        </w:rPr>
        <w:t>E. 4</w:t>
      </w:r>
    </w:p>
    <w:p>
      <w:r>
        <w:t>a) Selon l’art. 70 CP, le juge prononce la confiscation des valeurs patrimoniales qui sont le résultat d’une infraction ou qui étaient destinées à décider ou à récompenser l’auteur d’une infraction, si elles ne doivent pas être restituées au lésé en rétablissement de ses droits (al. 1) ; si le montant des valeurs soumises à la confiscation ne peut être déterminé avec précision ou si cette détermination requiert des moyens disproportionnés, le juge peut procéder à une estimation (al. 5). La confiscation au sens de l’art. 70 CP, qui est également appelée confiscation de compensation ( Ausgleichs- oder Abschöpfungseinziehung ), est justifiée par des motifs d’éthique sociale, parce qu’il serait moralement inadmissible de laisser l’auteur de l’infraction en possession de biens patrimoniaux acquis au moyen d’une infraction ; il convient d’ôter toute rentabilité à l’infraction, afin que le crime ne paie pas (Hirsig-Vouilloz, in : Roth/Moreillon (éd.), Commentaire romand, Code pénal I, 2009, nn. 5 et 13 ad art. 70 CP). Aux termes de l’art. 71 CP, lorsque les valeurs patrimoniales à confisquer ne sont plus disponibles – par exemple en raison de leur consommation, dissimulation ou aliénation, ou encore, s’il s’agit de choses fongibles, lorsqu’elles ont été mélangées au point que le « paper trail » ne puisse plus être reconstitué (Dupuis/Geller/Monnier/Moreillon/Piguet/Bettex/Stoll (éd.), Petit commentaire du code pénal, 2012, n. 5 ad art. 71 CP) –, le juge ordonne leur remplacement par une créance compensatrice de l’Etat d’un montant équivalent (al. 1, 1 re phrase); l’autorité d’instruction peut placer sous séquestre, en vue de l’exécution d’une créance compensatrice, des valeurs patrimoniales appartenant à la personne concernée (al. 3, 1 re phrase); le séquestre ne crée pas de droit de préférence en faveur de l’Etat lors de l’exécution forcée de la créance compensatrice (al. 3, 2 e phrase). Le but du prononcé d’une créance compensatrice, qui joue un rôle de substitution de la confiscation en nature selon l’art. 70 CP, est d’ôter toute rentabilité à l’infraction, afin que celui qui a disposé des valeurs sujettes à confiscation ne soit pas avantagé par rapport à celui qui les a conservées (ATF 123 IV 70 c. 3; Dupuis et al., op. cit., nn. 3 et 4 ad art. 71 CP et les références citées; Baumann, in: Niggli//Wiprächtiger (éd.), Basler Kommentar, Strafrecht I, 2 e éd., Bâle 2007, n. 53 ad art. 71 CP). Bien que le texte de l’art. 263 al. 1 let. d CPP ne mentionne pas la créance compensatrice, cette dernière est, en raison de son caractère subsidiaire, englobée dans la notion de confiscation; ainsi, dans l’hypothèse où les objets ou valeurs patrimoniales à confisquer ne seraient plus disponibles, un séquestre en vue de l’exécution d’une créance compensatrice peut être ordonné, tel que le prévoit l’art. 71 al. 3 CP (Lembo/Julen Berthod, op. cit., n. 10 ad art. 263 CPP; Bommer/Goldschmid, op. cit., n. 45 ad art. 263 CPP). Cette disposition autorise le séquestre en vue de l’exécution d’une créance compensatrice sur tous les biens de la personne visée, acquis de manière illicite; il n’est pas nécessaire qu’il existe un rapport de connexité entre les valeurs patrimoniales séquestrées et l'infraction poursuivie (Lembo/Julen Berthod, op. cit., n. 28 ad art. 263 CPP ; Baumann, op. cit., n. 57 ad art. 71 CP). b) En application de l’art. 70 al. 1 CP, la confiscation des valeurs patrimoniales qui sont le résultat d’une infraction ou qui étaient destinées à décider ou à récompenser l’auteur d’une infraction n’est prononcée que si ces valeurs ne doivent pas être restituées au lésé en rétablissement de ses droits. La loi pose ainsi le principe que la confiscation est subsidiaire par rapport à la restitution au lésé, laquelle intervient directement – sans qu’il soit nécessaire de passer par une confiscation selon l’art. 70 CP suivie d’une allocation au lésé selon l’art. 73 CP – lorsque l’identité du lésé est connue (Baumann, op. cit., n. 57 ad art. 70 CP; Dupuis et al., op. cit., n. 15 ad art. 70 CP et les références citées; Hirsig-Vouilloz, op. cit., n. 24 ad art. 70 CP). La confiscation de compensation selon l’art. 70 CP vise ainsi essentiellement les infractions contre les intérêts publics et moins les infractions contre les intérêts privés, en particulier les infractions contre le patrimoine, où la compensation résulte déjà du droit civil  (Baumann, op. cit., n. 35 ad art. 70 CP; Bommer/Goldschmid, op. cit., n. 49 ad art. 263 CPP). Dans ce dernier cas, un confiscation patrimoniale n’est envisageable que dans la mesure où la remise au lésé de la valeur patrimoniale n’est définitivement, à tout le moins momentanément, pas possible, comme lorsque le lésé ou son lieu de séjour sont inconnus, lorsque le lésé renonce à des prétentions en restitution ou lorsqu’il n’est pas clairement établi lequel des lésés a un droit sur le bien à confisquer ; dans ces circonstances, la confiscation a pour but d’écarter le risque que la valeur délictueuse ne profite au prévenu ou au tiers qui la détient en raison d’une carence du lésé (Hirsig-Vouilloz, op. cit., n. 25 ad art. 70 CP). Une créance compensatrice ne peut, en raison de son caractère subsidiaire (cf. c. 4a supra), être prononcée que si, dans l’hypothèse où les valeurs patrimoniales auraient été disponibles, la confiscation eût été prononcée (Dupuis et al., op. cit., n. 7 ad art. 71 CP). Elle vise ainsi en particulier des cas d’infractions où il n’existe pas de lésé et donc pas de prétention en restitution, comme en matière de trafic de stupéfiants (art. 19 LStup) ou de corruption (art. 322 ter ss CP) (cf. Bommer/Goldschmid, op. cit., nn. 43 et 48 ad art. 263 CPP). Il s’ensuit qu’un séquestre en vue de l’exécution d’une créance compensatrice ne peut être ordonné que dans le cas où les valeurs patrimoniales, dans l’hypothèse où elles auraient été disponibles, auraient dû être confisquées. Il ne peut en revanche l’être dans le cas où les valeurs patrimoniales, dans l’hypothèse où elles auraient été disponibles, auraient dû être restituées au lésé, car faute de rapport de connexité entre les valeurs patrimoniales séquestrées et celles que la personne lésée s’est vue directement soustraire du fait de l’infraction, le séquestre servirait alors à couvrir les prétentions civiles du lésé, ce qui constituerait un séquestre déguisé contraire à l’art. 44 LP (Lembo/Julen Berthod, op. cit., n. 13 ad art. 263 CPP et les références citées ; cf. Bommer/Goldschmid, op. cit., n. 55 ad art. 263 CPP). c) En l’espèce, le Procureur a motivé le séquestre de la part de copropriété de la recourante sur l’immeuble n° [...] de la commune de [...] en exposant lapidairement que ce séquestre visait à garantir – outre le paiement des frais, question qui sera examinée plus loin (cf. c. 5 infra) –, le recouvrement d’une éventuelle créance compensatrice. Or l’ordonnance attaquée n’indique pas – et on ne discerne pas – en quoi les conditions du prononcé d’une créance compensatrice de l’Etat, en tant que substitut d’une confiscation en nature, pourraient être remplies en l’espèce, où les infractions reprochées à la prévenue paraissent toutes avoir été commises au préjudice de lésés identifiables. En tous les cas, un séquestre en vue de l’exécution d’une créance compensatrice ne saurait être ordonné en vue de couvrir les prétentions civiles de l’intimé A.V.________, lequel a fait valoir par courrier du 14 juin 2012 (P. 81) qu’il y avait lieu, afin de garantir le paiement des prétentions civiles, d’ordonner le séquestre de la part de copropriété d’une demie de la recourante sur l’immeuble n° [...] de la commune de [...]. Il s’ensuit que c’est à tort que le Procureur a ordonné le séquestre de la part de copropriété d’une demie de la recourante sur l’immeuble n° [...] de la commune de [...] en vue de l’exécution d’une créance compensatrice.</w:t>
      </w:r>
    </w:p>
    <w:p>
      <w:r>
        <w:rPr>
          <w:b/>
        </w:rPr>
        <w:t>E. 5</w:t>
      </w:r>
    </w:p>
    <w:p>
      <w:r>
        <w:t>Il reste ainsi à examiner si le séquestre de la part de copropriété pouvait être ordonné en vue de la couverture des frais. a) Aux termes de l'art. 263 al. 1 let. b CPP, des objets et des valeurs patrimoniales appartenant au prévenu ou à des tiers peuvent être mis sous séquestre lorsqu'il est probable qu’ils seront utilisés pour garantir le paiement des frais de procédure, des peines pécuniaires, des amendes et des indemnités. L’art. 268 CPP précise à cet égard que le patrimoine d’un prévenu peut être séquestré dans la mesure qui paraît nécessaire pour couvrir (a) les frais de procédure et les indemnités à verser et/ou (b) les peines pécuniaires et les amendes (al. 1); lors du séquestre, l’autorité pénale tient compte du revenu et de la fortune du prévenu et de sa famille (al. 2); les valeurs patrimoniales insaisissables selon les art. 92 à 94 LP sont exclues du séquestre (al. 3). Le séquestre en couverture des frais (ou à fin de garantie) ( Vermögensbeschlagnahme ) peut être opéré sur tous les biens du prévenu aux fins d’en assurer la dévolution à l’Etat pour garantir le paiement des peines pécuniaires et autres frais de procédure et d’exécution des peines que la procédure pénale a fait naître à la charge du prévenu (Lembo/Julen Berthod, op. cit., n. 14 ad art. 263 CPP; Bommer/Goldschmid, op. cit., n. 50 ad art. 263 CPP et n. 1 ad art. 268 CPP). Ce type de séquestre, connu de longue date de certains codes cantonaux de procédure pénale, ne peut tendre qu’à la sauvegarde d’une prétention de la collectivité publique ; en effet, dans la mesure où son but est semblable à celui du séquestre des art. 271 ss LP ( Gläubigerarrest ), il ne peut servir à la réparation du dommage subi par le lésé sans violer l’art. 44 LP (Lembo/Julen Berthod, op. cit., n. 15 ad art. 263 CPP). Un séquestre en couverture des frais doit respecter le principe de proportionnalité (cf. c. 2d et art. 268 al. 1 à 3 CPP). Il ne doit ainsi pas compromettre plus que nécessaire les intérêts privés du prévenu en frappant indistinctement des valeurs patrimoniales, telles que des immeubles, dont la valeur dépasse le montant des frais présumés que le prévenu pourrait être condamné à payer (Bommer/Goldschmid, op. cit., n. 8 ad art. 268 CPP; CREP 11 avril 2011/91). En outre, un tel séquestre n’entre en considération que s’il existe des indices que le prévenu entend se soustraire à ses éventuelles obligations de paiement envers l’Etat et/ou la partie plaignante en prenant la fuite ou en consommant ou dissimulant ses biens; en revanche, lorsque l’on peut s’attendre à ce que le prévenu, en cas de condamnation, fera face dans la mesure de ses moyens aux frais en question, un séquestre en couverture des frais est exclu (Bommer/Goldschmid, op. cit., n. 9 ad art. 268 CPP). b) En l’espèce, l’ordonnance attaquée est muette tant sur le montant des frais présumés qui pourraient être mis à la charge de la prévenue que sur la valeur de la part de propriété séquestrée, mais l’on doit partir du principe que le montant des premiers serait dans tous les cas sensiblement inférieur à la valeur de la seconde. Le principe de proportionnalité n’apparaît ainsi pas respecté. En outre, rien n’indique que la recourante, qui habite dans l’immeuble n° [...] de la commune de [...], pourrait vouloir aliéner sa part de copropriété d’une demie sur cet immeuble et celer le produit de cette aliénation pour se soustraire à ses éventuelles obligations de paiement envers l’Etat et/ou la partie plaignante.</w:t>
      </w:r>
    </w:p>
    <w:p>
      <w:r>
        <w:rPr>
          <w:b/>
        </w:rPr>
        <w:t>E. 6</w:t>
      </w:r>
    </w:p>
    <w:p>
      <w:r>
        <w:t>Il s’ensuit que c’est à tort que le Procureur a ordonné le séquestre de la part de copropriété d’une demie de la recourante sur l’immeuble n° [...] de la commune de [...] en couverture des frais. Le séquestre ordonné par l’ordonnance du 26 juin 2012 se révélant entièrement injustifié, le recours doit être admis et l’ordonnance attaquée annulée.</w:t>
      </w:r>
    </w:p>
    <w:p>
      <w:r>
        <w:rPr>
          <w:b/>
        </w:rPr>
        <w:t>E. 7</w:t>
      </w:r>
    </w:p>
    <w:p>
      <w:r>
        <w:t>Vu l’issue du recours, les frais de la procédure de recours, constitués en l’espèce du seul émolument d'arrêt (art. 422 al. 1 CPP), par 1'320 fr. (art. 20 al. 1 TFJP [tarif des frais judiciaires pénaux; RSV 312.03.1]) , seront mis à la charge de l’intimé A.V.________, qui a conclu au rejet du recours (art. 428 al. 1 CPP). S'agissant des dépens réclamés par la recourante, ils suivent le sort de la cause au fond (cf. art. 433 CPP; Mizel/Rétornaz, in: Kuhn/Jeanneret (éd.), op. cit., n. 13 ad art. 433 CPP, p. 1900; CREP, 20 avril 2012/404; CREP, 9 novembre 2011/505). Par ces motifs, la Chambre des recours pénale, statuant à huis clos prononce : I. Le recours est admis. II. L'ordonnance est annulée. III. Les frais d'arrêt, par 1'320 fr. (mille trois cent vingt francs), sont mis à la charge de A.V.________. IV. Le présent arrêt est exécutoire. Le président :               La greffière : Du L'arrêt qui précède, dont la rédaction a été approuvée à huis clos, est notifié, par l'envoi d'une copie complète, à : - Me Aba Neeman, avocat (pour B.V.________), - Me Pierre-Yves Brandt, avocat (pour A.V.________), - Ministère public central, et communiquée à : ‑ M. le Procureur du Ministère public central, division entraide, criminalité économique et informatique,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