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615 vom 25. Juli 2012</w:t>
      </w:r>
    </w:p>
    <w:p>
      <w:r>
        <w:t>VD Tribunal cantonal, 2012-07-25, FR</w:t>
      </w:r>
    </w:p>
    <w:p>
      <w:r>
        <w:rPr>
          <w:b/>
        </w:rPr>
        <w:t xml:space="preserve">Quelle: </w:t>
      </w:r>
      <w:r>
        <w:t>https://mcp.opencaselaw.ch/entscheid/vd_findinfo_D_cision___2012___615</w:t>
      </w:r>
    </w:p>
    <w:p>
      <w:r>
        <w:t>FR: VD_FINDINFO Décision / 2012 / 615 du 25 juillet 2012</w:t>
      </w:r>
    </w:p>
    <w:p>
      <w:r>
        <w:t>IT: VD_FINDINFO Décision / 2012 / 615 del 25 luglio 2012</w:t>
      </w:r>
    </w:p>
    <w:p>
      <w:pPr>
        <w:pStyle w:val="Heading2"/>
      </w:pPr>
      <w:r>
        <w:t>Regeste</w:t>
      </w:r>
    </w:p>
    <w:p>
      <w:r>
        <w:t>RÉCUSATION | 56 let. f CPP (CH)</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w:t>
      </w:r>
    </w:p>
    <w:p>
      <w:r>
        <w:rPr>
          <w:b/>
        </w:rPr>
        <w:t>E. 3</w:t>
      </w:r>
    </w:p>
    <w:p>
      <w:r>
        <w:t>En l’espèce, le requérant reproche à la Procureure, en bref, d'avoir préjugé, respectivement donné une apparence de prévention en sa défaveur dans la mesure où son refus de donner suite à sa requête de mesures d'instruction présupposerait qu'elle accorde plus de crédit aux dires de la plaignante qu'aux siens; en outre, il a mis ce refus en relation avec le fait qu'elle n'avait pas davantage répondu au courrier qu'il lui avait adressé le 14 mai 2012, sans doute, d'après le prévenu, parce qu'elle estimait que les réponses apportées par le psychiatre de la plaignante étaient largement suffisantes. Elle aurait dès lors, toujours selon le prévenu, failli à son obligation d'instruire à charge et à décharge. Le refus de la demande de la partie tendant à l'audition d'un témoin supplémentaire se fonde sur le motif que les faits en question ne sont pas pertinents. La personne dont l'audition est requise ne pourrait, au mieux, qu'indiquer qu'une femme avait été abusée sexuellement le 18 juin 2011 au matin à la sortie du même établissement que celui qu'avaient fréquenté les parties dans la nuit du 17 au 18 juin. On peut objectivement se demander en quoi un tel fait pourrait être déterminant pour la présente enquête. En particulier, la perpétration éventuelle d'autres infractions contre l'intégrité sexuelle commises peu après les faits ici en cause ne serait pas de nature à disculper le prévenu. Il n'y a dès lors aucun élément factuel susceptible d'étayer une apparence de prévention de la Procureure dans le traitement du dossier, s'agissant notamment d'erreurs de procédure ou d'appréciation particulièrement lourdes ou répétées. Pour le surplus, il appartient au Procureur de décider si telle ou telle mesure d'instruction se justifie. Ces décisions peuvent être revues dans le cadre des voies de droit, que le requérant peut utiliser tout comme les autres parties. La récusation n'est clairement pas un instrument à disposition des parties pour leur permettre de contester ces mesures ou leur absence, faute de quoi le travail des procureurs ne serait simplement plus possible.</w:t>
      </w:r>
    </w:p>
    <w:p>
      <w:r>
        <w:rPr>
          <w:b/>
        </w:rPr>
        <w:t>E. 4</w:t>
      </w:r>
    </w:p>
    <w:p>
      <w:r>
        <w:t>Il résulte de ce qui précède que la demande de récusation présentée par Q.________ doit être rejetée. Les frais de procédure, constitués en l’espèce de l’émolument de décision, par 770 fr. (art. 20 al. 1 TFJP [tarif des frais judiciaires pénaux; RSV 312.03.1]), sont mis à la charge du requérant, qui succombe (art. 59 al. 4 CPP). Par ces motifs, la Chambre des recours pénale, statuant à huis clos : I. Rejette la demande de récusation déposée le 10 juillet 2012 par Q.________. II. Dit que les frais d'arrêt, par 770 fr. (sept cent septante francs), sont mis à la charge du requérant Q.________. III. Déclare le présent arrêt exécutoire. Le président :               Le greffier : Du La décision qui précède, dont la rédaction a été approuvée à huis clos, est notifiée, par l'envoi d'une copie complète, à : - Me Pierre-Alain Killias, avocat (pour Q.________),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