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587 vom 14. Juli 2012</w:t>
      </w:r>
    </w:p>
    <w:p>
      <w:r>
        <w:t>VD Tribunal cantonal, 2012-07-14, FR</w:t>
      </w:r>
    </w:p>
    <w:p>
      <w:r>
        <w:rPr>
          <w:b/>
        </w:rPr>
        <w:t xml:space="preserve">Quelle: </w:t>
      </w:r>
      <w:r>
        <w:t>https://mcp.opencaselaw.ch/entscheid/vd_findinfo_D_cision___2012___587</w:t>
      </w:r>
    </w:p>
    <w:p>
      <w:r>
        <w:t>FR: VD_FINDINFO Décision / 2012 / 587 du 14 juillet 2012</w:t>
      </w:r>
    </w:p>
    <w:p>
      <w:r>
        <w:t>IT: VD_FINDINFO Décision / 2012 / 587 del 14 luglio 2012</w:t>
      </w:r>
    </w:p>
    <w:p>
      <w:pPr>
        <w:pStyle w:val="Heading2"/>
      </w:pPr>
      <w:r>
        <w:t>Regeste</w:t>
      </w:r>
    </w:p>
    <w:p>
      <w:r>
        <w:t>DÉTENTION PRÉVENTIVE, RISQUE DE COLLUSION | 221 al. 1 let. b CPP (CH)</w:t>
      </w:r>
    </w:p>
    <w:p>
      <w:pPr>
        <w:pStyle w:val="Heading2"/>
      </w:pPr>
      <w:r>
        <w:t>Erwägungen</w:t>
      </w:r>
    </w:p>
    <w:p>
      <w:r>
        <w:rPr>
          <w:b/>
        </w:rPr>
        <w:t>E. 13</w:t>
      </w:r>
    </w:p>
    <w:p>
      <w:r>
        <w:t>juillet 2012, R. 5), qu'il conteste en revanche toujours sa participation au cambriolage du magasin [...] de [...], commis la même nuit, que les aveux de ses co-prévenus ne portent que sur le cambriolage du magasin [...] de [...] que compte tenu des déclarations divergentes et fluctuantes des prévenus s'agissant de l'implication de chacun d'eux, des contrôles doivent être effectués pour déterminer la provenance du matériel saisi ainsi que l'étendue des activités délictueuses du recourant et de ses acolytes, que c'est dès lors à juste titre que le Tribunal des mesures de contrainte a retenu l'existence d'un risque de collusion; attendu que la détention provisoire et la détention pour des motifs de sûreté ne doivent pas durer plus longtemps que la peine privative de liberté prévisible (art. 212 al. 3 CPP), qu'en l'occurrence, compte tenu de la gravité des actes reprochés au prévenu, le principe de la proportionnalité demeure respecté (art. 212 al. 3 CPP; ATF 133 I 168 c. 4.1, et les références citées),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H.________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 huit francs et huitante centimes) l’indemnité allouée au défenseur d’office de H.________ IV. Dit que les frais du présent arrêt, par 550 fr. (cinq cent cinquante francs), ainsi que l’indemnité due au défenseur d’office de H.________, par 388 fr. 80 (trois cent huitante huit francs et huitante centimes), sont mis à la charge de ce dernier. V. Dit que le remboursement à l'Etat de l'indemnité allouée au chiffre III ci-dessus sera exigible pour autant que la situation économique de H.________ se soit améliorée. VI. Déclare le présent arrêt exécutoire. Le président :               La greffière : Du La décision qui précède, dont la rédaction a été approuvée à huis clos, est notifiée, par l'envoi d'une copie complète, à : - Me Jean-Pierre Bloch, avocat (pour H.________), - Ministère public central, et communiquée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