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586 vom 1. Juni 2012</w:t>
      </w:r>
    </w:p>
    <w:p>
      <w:r>
        <w:t>VD Tribunal cantonal, 2012-06-01, FR</w:t>
      </w:r>
    </w:p>
    <w:p>
      <w:r>
        <w:rPr>
          <w:b/>
        </w:rPr>
        <w:t xml:space="preserve">Quelle: </w:t>
      </w:r>
      <w:r>
        <w:t>https://mcp.opencaselaw.ch/entscheid/vd_findinfo_D_cision___2012___586</w:t>
      </w:r>
    </w:p>
    <w:p>
      <w:r>
        <w:t>FR: VD_FINDINFO Décision / 2012 / 586 du 1 juin 2012</w:t>
      </w:r>
    </w:p>
    <w:p>
      <w:r>
        <w:t>IT: VD_FINDINFO Décision / 2012 / 586 del 1 giugno 2012</w:t>
      </w:r>
    </w:p>
    <w:p>
      <w:pPr>
        <w:pStyle w:val="Heading2"/>
      </w:pPr>
      <w:r>
        <w:t>Regeste</w:t>
      </w:r>
    </w:p>
    <w:p>
      <w:r>
        <w:t>DÉFENSE D'OFFICE | 132 CPP (CH)</w:t>
      </w:r>
    </w:p>
    <w:p>
      <w:pPr>
        <w:pStyle w:val="Heading2"/>
      </w:pPr>
      <w:r>
        <w:t>Volltext</w:t>
      </w:r>
    </w:p>
    <w:p>
      <w:r>
        <w:t>Vaud Tribunal cantonal Cour d'appel pénale 01.06.2012 Décision / 2012 / 586</w:t>
      </w:r>
    </w:p>
    <w:p>
      <w:r>
        <w:t>DÉFENSE D'OFFICE | 132 CPP (CH)</w:t>
      </w:r>
    </w:p>
    <w:p>
      <w:r>
        <w:t>TRIBUNAL CANTONAL 416 PE12.004936-CHM CHAMBRE DES RECOURS PENALE __________________________________________ Séance du 1er juin 2012 __________________ Présidence de               M. Krieger , président Juges :              M. Abrecht et Mme Byrde Greffier :              M. Addor ***** Art. 132, 393 al. 1 let. a CPP La Chambre des recours pénale prend séance à huis clos pour statuer sur le recours interjeté par C.________ contre la décision du Ministère public de l'arrondissement de Lausanne refusant de lui désigner un défenseur d'office ( enquête n° PE12.004936-CHM ). Elle considère : E n  f a i t : A. a) Le 16 mars 2012, le Procureur de l’arrondissement de Lausanne a décidé de l’ouverture d’une instruction pénale (art. 309 CPP) contre C.________, né en 1977, célibataire, pour actes d’ordre sexuel avec des enfants (art. 187 ch. 1 et 4 CP). Il est reproché à C.________ d'avoir, le 5 mars 2012 à Lausanne, entretenu une relation sexuelle librement consentie avec G.________, né le 3 juin 1997 et donc âgé de 14 ans et demi au moment des faits. b) Les versions du prévenu et de la victime concordent pour l'essentiel. Leurs déclarations divergent toutefois sur un point. Le jeune homme, en effet, a indiqué que, sur le site de rencontres Badoo où il était entré en contact avec le prévenu, il avait fait croire qu'il était âgé de 16 ans (PV aud. 2, p. 2). Il a ajouté que, au moment des faits, le prévenu ne lui avait pas demandé son âge et qu'il ne le lui avait pas communiqué (PV aud. 2, p. 3 en bas). Le prévenu, au contraire, a affirmé que le jeune homme lui avait dit être âgé de 16 ans (PV aud. 3, R. 9). Il ressort des auditions que le jeune homme, à la recherche d'une expérience sexuelle, était consentant. Se disant persuadé que la victime avait 16 ans, le prévenu s’est effondré en apprenant qu'elle était en réalité âgée de 14 ans et demi (PV aud. 3, R. 15 et 24). B. a) Par courrier du 8 mai 2012 (P. 20), l’avocat Jean Jacques Schwaab a écrit au Procureur qu’il était consulté par le prévenu et a requis sa désignation comme défenseur d’office. b) Par décision du 11 mai 2012, notifiée le 16 mai 2012 au défenseur du prévenu, le Procureur a rejeté la requête de désignation d’un défenseur d’office à C.________ (I) et a dit que les frais de cette décision suivaient le sort de la cause (II). Il a considéré que les faits n’étaient compliqués ni en fait ni en droit, de sorte que l’affaire ne présentait pas de difficultés que le prévenu ne pourrait pas surmonter seul (art. 132 al. 2 CPP). Par ailleurs, les faits reprochés à C.________ pouvaient être considérés comme de peu de gravité, la peine envisagée étant inférieure à 120 jours-amende (art. 132 al. 3 CPP), de sorte que l’assistance d’un défenseur n’apparaissait pas justifiée pour sauvegarder ses intérêts (art. 132 al. 1 let. b CPP). C. Par acte du 29 mai 2012 (lendemain du lundi de Pentecôte), C.________ a recouru auprès de la Chambre des recours pénale du Tribunal cantonal contre cette décision, en concluant avec suite de frais et dépens principalement à sa réforme en ce sens qu’un défenseur d’office lui soit désigné en la personne de l’avocat Jean Jacques Schwaab, et subsidiairement à son annulation. E n  d r o i t : 1. Aux termes de l’art. 393 al. 1 let. a CPP, le recours est recevable contre les décisions et actes de procédure du Ministère public. Une décision du Ministère public refusant d’ordonner une défense d’office (art. 132 CPP) est ainsi susceptible de recours selon les art. 393 ss CPP (Nicklaus Ruckstuhl, in: Niggli/Heer/Wiprächtiger (éd.), Basler Kommentar, Schweizerische Strafprozessordnung, Jugendstrafprozessordnung, Bâle 2011, n. 32 ad art. 132 CPP; Maurice Harari/Tatiana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 compte tenu du fait que si le dernier jour du délai est un samedi, un dimanche ou un jour férié reconnu par le droit fédéral ou cantonal, le délai expire le premier jour ouvrable qui suit (art. 90 al. 2 CPP), soit en l’espèce le 29 mai 2012 – devant l’autorité compétente et satisfait aux conditions de forme posées par l’art. 385 al. 1 CPP. 2. a) Selon l’art. 132 al. 1 CPP, la direction de la procédure ordonne une défense d’office dans les deux hypothèses suivantes :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 2.5.2 ; ATF 120 Ia 43 c. 2a et les références citées ; TF 1B_477/2011 du 4 janvier 2012 c. 2.2). c) En l’espèce, le recourant soutient qu’il risquerait une peine privative de liberté de plus d’un an et qu’on se trouverait ainsi dans un cas de défense obligatoire au sens de l’art. 130 CPP. Il soutient que la peine régulièrement prononcée dans le cadre de l’art. 187 CP serait une peine privative de liberté de plus d’un an. Les arrêts de la Cour de cassation du Tribunal cantonal auxquels il se réfère concernent toutefois des cas très différents, dans lesquels les actes étaient commis de manière répétée et prolongée sur des enfants beaucoup plus jeunes et vulnérables, et dans lesquels avaient également été retenus en concours d’autres infractions comme la contrainte sexuelle (CCass., 26 octobre 2009/441 et 6 septembre 2010/365; CCass., 6 septembre 2010/359). En l’espèce, la Cour de céans ne peut que partager l’appréciation du Procureur selon laquelle, en fonction des circonstances telles qu’elles ressortent du dossier, la peine envisageable est inférieure à 120 jours-amende. En effet, il résulte de l'extrait de leurs échanges sur le site Badoo que la victime a annoncé au recourant être âgée de 16 ans et être consentante, ayant déjà eu des rapports avec des hommes plus âgés (P. 8). En outre, sur la photographie qui figure au dossier, la victime paraît faire plus que son âge (P. 8, dernière page). Enfin, on rappelle que le recourant a été extrêmement surpris et s'est effondré, lorsque, au cours de son audition, il a appris l'âge réel de G.________. On peut donc effectivement penser que l'affaire est de peu de gravité, au sens de l'art. 132 al. 3 CPP. Par ailleurs, l’affaire ne présente pas des difficultés particulières du point de vue de l'établissement des faits ou des questions juridiques soulevées que le recourant ne serait pas en mesure de résoudre seul. En particulier, le fait qu’il s’agira de déterminer si le comportement du recourant tombe sous le coup de l’art. 187 ch. 1 ou 4 CP – suivant que l’on retienne l’intention (le cas échéant par dol éventuel) ou la négligence en ce qui concerne la connaissance du fait que la victime était âgée de moins de seize ans – ne permet pas de retenir l’existence de difficultés particulières de fait ou de droit, contrairement à ce qu’affirme le recourant (recours, p. 9). d) Il résulte de ce qui précède que, en l’absence d’un cas de défense obligatoire et dès lors que la réalisation de l’une des conditions cumulatives d’une défense d’office selon l’art. 132 let. b CPP tel que précisé par l’art. 132 al. 2 et 3 CPP – à savoir que l’assistance d’un avocat soit nécessaire – fait défaut, le Procureur était fondé à refuser de désigner un avocat d’office au recourant, sans avoir à examiner si la deuxième condition posée par l’art. 132 let. b CPP – à savoir que le prévenu ne dispose pas des moyens nécessaires – était réalisée (cf. recours, p. 7-8). 3. Les conditions de l’art. 132 CPP n’étant pas remplies, la décision attaquée échappe à la critique. Manifestement mal fondé, le recours doit être rejeté sans autres échanges d’écritures (art. 390 al. 2 CPP). Les frais de la procédure de recours, constitués en l’espèce du seul émolument d'arrêt, par  660 fr. (art. 20 al. 1 TFJP; RSV 312.03.1), sont mis à la charge du recourant, qui succombe (art. 428 al. 1 CPP). Par ces motifs, la Chambre des recours pénale, statuant à huis clos, prononce : I. Le recours est rejeté. II. La décision du 11 mai 2012 est confirmée. III. Les frais de la procédure de recours, par 660 fr. (six cent soixante francs), sont mis à la charge de C.________. IV. L'arrêt est exécutoire. Le président :               Le greffier : Du L'arrêt qui précède, dont la rédaction a été approuvée à huis clos, est notifié, par l'envoi d'une copie complète, à : - M. Jean-Jacques Schwaab, avocat (pour C.________),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