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560 vom 12. Juli 2012</w:t>
      </w:r>
    </w:p>
    <w:p>
      <w:r>
        <w:t>VD Tribunal cantonal, 2012-07-12, FR</w:t>
      </w:r>
    </w:p>
    <w:p>
      <w:r>
        <w:rPr>
          <w:b/>
        </w:rPr>
        <w:t xml:space="preserve">Quelle: </w:t>
      </w:r>
      <w:r>
        <w:t>https://mcp.opencaselaw.ch/entscheid/vd_findinfo_D_cision___2012___560</w:t>
      </w:r>
    </w:p>
    <w:p>
      <w:r>
        <w:t>FR: VD_FINDINFO Décision / 2012 / 560 du 12 juillet 2012</w:t>
      </w:r>
    </w:p>
    <w:p>
      <w:r>
        <w:t>IT: VD_FINDINFO Décision / 2012 / 560 del 12 luglio 2012</w:t>
      </w:r>
    </w:p>
    <w:p>
      <w:pPr>
        <w:pStyle w:val="Heading2"/>
      </w:pPr>
      <w:r>
        <w:t>Regeste</w:t>
      </w:r>
    </w:p>
    <w:p>
      <w:r>
        <w:t>DÉTENTION PRÉVENTIVE | 221 al. 1 let. a CPP (CH), 221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En l’espèce, il y a donc lieu d’entrer en matière sur le recours, qui a été interjeté en temps utile devant l’autorité compétente et satisfait aux conditions de forme posées par l’art. 385 al. 1 CPP.</w:t>
      </w:r>
    </w:p>
    <w:p>
      <w:r>
        <w:rPr>
          <w:b/>
        </w:rPr>
        <w:t>E. 2</w:t>
      </w:r>
    </w:p>
    <w:p>
      <w:r>
        <w:t>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3</w:t>
      </w:r>
    </w:p>
    <w:p>
      <w:r>
        <w:t>a) En l’espèce, le recourant conteste d'abord l’existence à son égard de charges suffisantes quant aux infractions dont il lui est fait grief. A tort. En effet, la présence d'un sachet de poissons volé à proximité du prévenu lors de son interpellation alors que ses deux comparses présumés, qu'il connaît très bien de son propre aveu, se trouvaient à quelque 200 mètres de lui dans ou au voisinage immédiat du lieu du vol constitue un indice suffisant de culpabilité à ce stade de l'enquête. Les soupçons en question ne sont pas infirmés par le fait que le recourant ne présentait pas d'alcoolémie lors de son interpellation, contrairement aux deux autres individus. Ils ne le sont pas davantage par l'absence d'empreinte ou de trace d'ADN du recourant sur les lieux du cambriolage. Le recourant conteste tout risque de fuite. En vain également. Il est en effet dépourvu d'attaches avec la Suisse, au point qu'il a effectué un séjour d'un mois à l'étranger, qui n'a été interrompu que par son expulsion vers notre pays. Il est donc à craindre que, dépourvu de revenu licite, de statut légal et même de résidence fixe en Suisse, il ne se rende à nouveau à l'étranger et se soustraie ainsi aux poursuites pénales. b) Le seul moyen propre à parer au risque de fuite au stade actuel de l'enquête est ainsi la détention provisoire. Il n'y a donc pas lieu d'examiner si les autres conditions justifiant la détention préventive sont réalisées, celles-ci étant alternatives et non cumulatives (Forster in : Niggli/Heer/Wiprächtiger, Schweizerische Strafprozess-ordnung, Basler Kommentar, Bâle 2011, n. 4 ad art. 221 CPP, p. 1460). Pour le reste, le maintien en détention du prévenu respecte le principe de proportionnalité eu égard à la proportion entre la durée de la détention provisoire ordonnée et la quotité de la peine privative de liberté dont l'intéressé paraît passible pour la commission de trois délits en concours (vol, dommages à la propriété et violation de domicile).</w:t>
      </w:r>
    </w:p>
    <w:p>
      <w:r>
        <w:rPr>
          <w:b/>
        </w:rPr>
        <w:t>E. 4</w:t>
      </w:r>
    </w:p>
    <w:p>
      <w:r>
        <w:t>Il résulte de ce qui précède que c’est à bon droit que le Tribunal des mesures de contrainte a estimé que les conditions de la détention provisoire du prévenu étaient réunies en l'état, d'autant plus que la détention provisoire n'a été autorisée, à juste titre, que pour un mois par le Tribunal des mesures de contrainte. Partant, le recours, manifestement mal fondé, doit être rejeté sans autres échanges d’écritures (art. 390 al. 2 CPP). Le rejet du recours implique le refus de toute juste indemnité pour les dépenses du prévenu au sens de l'art. 436 al. 2 CPP. Toutefois, il apparaît que Me Keller a été désigné comme avocat de la première heure et qu'il est, à ce jour, toujours le conseil d'office du prévenu. Cette désignation vaut également pour la procédure de recours, à l'exclusion de l'indemnisation prévue pour l'avocat de choix. Dès lors, Me Keller a droit à une indemnité d'office pour la présente procédure. Les frais de la procédure de recours, constitués en l’espèce de l'émolument d'arrêt (art. 422 al. 1 CPP), par 660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T.________ est fixée à 486 fr. (quatre cent huitante-six francs). IV. Les frais du présent arrêt, par 660 fr. (six cent soixante francs), ainsi que l’indemnité due au défenseur d’office du recourant selon le chiffre III ci-dessus, sont mis à la charge de T.________. V. Le remboursement à l'Etat de l'indemnité allouée au chiffre III ci-dessus sera exigible pour autant que la situation économique de T.________ se soit améliorée. VI. Le présent arrêt est exécutoire. Le président :               Le greffier : Du L'arrêt qui précède, dont la rédaction a été approuvée à huis clos, est notifié, par l'envoi d'une copie complète, à : - M. Mathias Keller, avocat (pour T.________), - Ministère public central, et communiqué à : ‑ Tribunal des mesures de contrainte, - Madame la Procureure du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