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540 vom 2. Juli 2012</w:t>
      </w:r>
    </w:p>
    <w:p>
      <w:r>
        <w:t>VD Tribunal cantonal, 2012-07-02, FR</w:t>
      </w:r>
    </w:p>
    <w:p>
      <w:r>
        <w:rPr>
          <w:b/>
        </w:rPr>
        <w:t xml:space="preserve">Quelle: </w:t>
      </w:r>
      <w:r>
        <w:t>https://mcp.opencaselaw.ch/entscheid/vd_findinfo_D_cision___2012___540</w:t>
      </w:r>
    </w:p>
    <w:p>
      <w:r>
        <w:t>FR: VD_FINDINFO Décision / 2012 / 540 du 2 juillet 2012</w:t>
      </w:r>
    </w:p>
    <w:p>
      <w:r>
        <w:t>IT: VD_FINDINFO Décision / 2012 / 540 del 2 luglio 2012</w:t>
      </w:r>
    </w:p>
    <w:p>
      <w:pPr>
        <w:pStyle w:val="Heading2"/>
      </w:pPr>
      <w:r>
        <w:t>Regeste</w:t>
      </w:r>
    </w:p>
    <w:p>
      <w:r>
        <w:t>DÉCISION D'IRRECEVABILITÉ, RADIATION DU RÔLE | 27 al. 5 LPA-VD, 79 al. 1 LPA-VD</w:t>
      </w:r>
    </w:p>
    <w:p>
      <w:pPr>
        <w:pStyle w:val="Heading2"/>
      </w:pPr>
      <w:r>
        <w:t>Volltext</w:t>
      </w:r>
    </w:p>
    <w:p>
      <w:r>
        <w:t>Vaud Tribunal cantonal Cour des assurances sociales 02.07.2012 Décision / 2012 / 540</w:t>
      </w:r>
    </w:p>
    <w:p>
      <w:r>
        <w:t>DÉCISION D'IRRECEVABILITÉ, RADIATION DU RÔLE | 27 al. 5 LPA-VD, 79 al. 1 LPA-VD</w:t>
      </w:r>
    </w:p>
    <w:p>
      <w:r>
        <w:t>TRIBUNAL CANTONAL AVS 25/12 - 27/2012 ZC12.017032 COUR DES ASSURANCES SOCIALES _____________________________________________ Décision du 2 juillet 2012 _________________­___ Présidence de               M. Neu , juge unique Greffière :              Mme Pellaton ***** Statuant sur le recours formé par: O.________ , à Blonay, recourant, représenté par Fidexpert SA, à Clarens. _______________ Art. 27 al. 5 et 79 al. 1 LPA-VD Vu le recours formé le 1 er mai 2012 par O.________, représenté par la société Fidexpert SA, contre une décision du 19 mars 2012 rendue par une caisse indéterminée, vu l'accusé de réception du recours du 10 mai 2012, par lequel le juge instructeur a fixé au recourant un délai de 7 jours dès réception pour produire la décision en cause et l'enveloppe qui la contenait, précisant qu'à défaut, le recours serait réputé retiré, vu l'absence de réponse du recourant dans le délai imparti; attendu qu'aux termes de l'art. 79 al. 1 LPA-VD (loi cantonale vaudoise du 28 octobre 2008 sur la procédure administrative, RSV 173.36), applicable par renvoi de l'art. 99 LPA-VD, la décision attaquée doit être jointe au recours, qu'à teneur de l'art. 27 al. 5 LPA-VD, les écrits dont les vices ne sont pas corrigés dans le délai imparti à cet effet sont réputés retirés, que, bien qu'invité à produire la décision contre laquelle il entendait recourir, le recourant n'en a produit aucune, que, partant, le recours est réputé retiré, et la cause en conséquence rayée du rôle; attendu que le juge instructeur statuant comme juge unique est compétent pour rayer la cause du rôle (art. 94 al. 1 let. c), que la présente décision est rendue sans frais, ni allocation de dépens (art. 61 let. a et g LPGA). Par ces motifs, le juge unique prononce : I. Le recours est irrecevable. II. La cause est rayée du rôle, sans frais ni allocation de dépens. Le juge unique :               La greffière : Du La décision qui précède est notifiée à : ‑ Fidexpert SA (pour O.________),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