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530 vom 5. Juli 2012</w:t>
      </w:r>
    </w:p>
    <w:p>
      <w:r>
        <w:t>VD Tribunal cantonal, 2012-07-05, FR</w:t>
      </w:r>
    </w:p>
    <w:p>
      <w:r>
        <w:rPr>
          <w:b/>
        </w:rPr>
        <w:t xml:space="preserve">Quelle: </w:t>
      </w:r>
      <w:r>
        <w:t>https://mcp.opencaselaw.ch/entscheid/vd_findinfo_D_cision___2012___530</w:t>
      </w:r>
    </w:p>
    <w:p>
      <w:r>
        <w:t>FR: VD_FINDINFO Décision / 2012 / 530 du 5 juillet 2012</w:t>
      </w:r>
    </w:p>
    <w:p>
      <w:r>
        <w:t>IT: VD_FINDINFO Décision / 2012 / 530 del 5 luglio 2012</w:t>
      </w:r>
    </w:p>
    <w:p>
      <w:pPr>
        <w:pStyle w:val="Heading2"/>
      </w:pPr>
      <w:r>
        <w:t>Regeste</w:t>
      </w:r>
    </w:p>
    <w:p>
      <w:r>
        <w:t>EXÉCUTION ANTICIPÉE DE LA PEINE | 236 CPP (CH)</w:t>
      </w:r>
    </w:p>
    <w:p>
      <w:pPr>
        <w:pStyle w:val="Heading2"/>
      </w:pPr>
      <w:r>
        <w:t>Erwägungen</w:t>
      </w:r>
    </w:p>
    <w:p>
      <w:r>
        <w:rPr>
          <w:b/>
        </w:rPr>
        <w:t>E. 1</w:t>
      </w:r>
    </w:p>
    <w:p>
      <w:r>
        <w:t>a)              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(Stephenson/ Thiriet, in : Niggli/Heer/Wiprächtiger [éd.], Basler Kommentar, Schweizerische Strafprozessordnung, Jugendstrafprozessordnung, Bâle 2011, n. 10 ad art. 393 CPP; Hug, in : Donatsch/Hansjakob/Lieber [éd.], Kommentar zur Schweizerischen Strafprozessordnung, 2010, n. 17 ad art. 236 CPP; CREP 4 juillet 2012/298 c. 1a).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satisfait aux conditions de forme posées par l’art. 385 al. 1 CPP.</w:t>
      </w:r>
    </w:p>
    <w:p>
      <w:r>
        <w:rPr>
          <w:b/>
        </w:rPr>
        <w:t>E. 2</w:t>
      </w:r>
    </w:p>
    <w:p>
      <w:r>
        <w:t>a) Aux termes de l’art. 236 CPP, la direction de la procédure peut autoriser le prévenu à exécuter de manière anticipée une peine privative de liberté ou une mesure entraînant une privation de liberté si le stade de la procédure le permet (al. 1); si la mise en accusation a déjà été engagée, la direction de la procédure donne au ministère public l’occasion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sauf si le but de la détention provisoire ou de la détention pour des motifs de sûreté s’y oppose (al. 4). Cette disposition remplace les art. 58 al. 1 et 75 al. 2 CP depuis l’entrée en vigueur du CPP; elle règle la question de manière complète et exhaustive (Härri, in : Niggli/Heer/Wiprächtiger (éd.), Basler Kommentar, op. cit., n. 4 ad art. 236 CPP et les réf. cit.). Dans le canton de Vaud, les modalités d’exécution figurent dans la loi du 7 novembre 2006 sur l’exécution de la détention avant jugement (LEDJ; RSV 312.07). b) De par sa nature, l’exécution anticipée des peines et des mesures de l’art. 236 CPP est une mesure de contrainte de la procédure pénale qui se classe à la limite entre la poursuite pénale et l’exécution de la peine; elle doit permettre d’offrir à l’accusé de meilleures chances de resocialisation dans le cadre de l’exécution de la peine avant même que le jugement n’entre en force (TF 1B_90/2012 du 21 mars 2012 c. 2.2; TF 1B_18/2012 du 27 janvier 2012 c. 2; ATF 133 I 270 c. 3.2.1, JT 2011 IV 3). La poursuite de la détention sous la forme de l’exécution anticipée de la peine suppose l’existence d’un motif de détention provisoire particulier, comme par exemple le risque de collusion ou le risque de fuite (TF 1B_90/2012 précité; ATF 117 Ia 72; Robert-Nicoud, in Kuhn/Jeanneret [éd.], Commentaire romand, Code de procédure pénale suisse, Bâle 2011, n. 4 ad art. 236 CPP). L’art. 236 al. 1 CP fait dépendre l’autorisation d’exécution de peine de manière anticipée du stade auquel se trouve la procédure. Par « stade de la procédure » permettant une telle exécution, il faut comprendre le moment à partir duquel la présence du prévenu n’est plus immédiatement nécessaire à l’administration de la preuve (Robert-Nicoud, op. cit., n. 4 ad art. 236 CPP; Hug, op. cit., n. 9 ad art. 236 CPP). Cette disposition répond à un besoin pratique, le lieu d’exécution n’étant pas nécessairement proche du lieu de l’enquête. En principe, lorsque l’instruction est sur le point d’être close, la présence du prévenu n’est plus nécessaire à l’administration de la preuve (Härri, op. cit., n. 13 ad art. 236 CPP et les réf. cit.). Ainsi que le Tribunal fédéral l’avait déjà exposé à plusieurs reprises antérieurement à l’entrée en vigueur du Code de procédure pénale suisse, si un risque de collusion demeure, la demande d’exécution anticipée devrait être rejetée, car les modalités de l’exécution de peine – contacts entre détenus plus nombreux, visites plus fréquentes, accès au téléphone et à d’autres moyens de communication, etc. – ne permettent pas de prévenir le danger de collusion (TF 1B_264/2010 du 30 août 2010 c. 2.2; TF 1B_182/2010 du 23 juin 2010 c. 2.3; TF 1B_140/2008 du 17 juin 2008 c. 2.1; TF 1P.724/2003 du 16 décembre 2003 c. 2.1; Härri, op. cit., n. 18 ad art. 236 CPP et les réf. cit.; Robert-Nicoud, op. cit., n. 5 ad art. 236 CPP et les réf. cit.; cf. Hug, op. cit., n. 9 ad art. 236 CPP et les réf. cit.).</w:t>
      </w:r>
    </w:p>
    <w:p>
      <w:r>
        <w:rPr>
          <w:b/>
        </w:rPr>
        <w:t>E. 3</w:t>
      </w:r>
    </w:p>
    <w:p>
      <w:r>
        <w:t>Dans le cas particulier, l’instruction a débuté il y a moins de trois mois, le prévenu et ses comparses ayant été arrêtés le 14 avril 2012. Le prévenu a été auditionné par la police le même jour (PV aud. 1), puis par le Procureur le 15 avril (PV aud. 9) et le 8 mai 2012 (PV aud. 11), avant de l'être à nouveau par la police le 12 juin suivant (PV aud. 14). Cette dernière audition portait en particulier sur de nouvelles infractions dont il est soupçonné. Au vu des questions posées au prévenu notamment le 12 juin 2012 (PV aud. 14, spéc. p. 3), il semble en effet que l'ampleur de l'activité délictueuse qui pourrait lui être imputable dépasse les infractions dont il a pour l'heure avoué être l'auteur, respectivement le coauteur ou le complice. De surcroît, le prévenu paraît appartenir à une bande organisée venue en Suisse dans le dessein de commettre des infractions sur une large échelle, notamment contre le patrimoine. Partant, il s'agira d'établir le rôle respectif de chacun des comparses dans l'ensemble des infractions. Le recourant et ses acolytes devront donc être réentendus sur les mêmes faits. Il s'ensuit que le risque de collusion est majeur et que l'enquête est appelée à durer. Vu l'extension possible des investigations et la tenue de nouvelles auditions, le fait que le recourant ait séjourné dans la même cellule que l'un de ses comparses et dans le même établissement pénitentiaire que les deux autres n'est guère de nature à réduire ce risque, contrairement à ce qu'il fait plaider. On ne se trouve donc clairement pas à un stade de la procédure proche de la clôture de l’instruction, où la présence du prévenu ne serait plus immédiatement nécessaire à l’administration des preuves. Au contraire, la détention provisoire du prévenu demeure indispensable à l’administration de preuves importantes, ce qui s’oppose à ce qu’il soit autorisé à exécuter une peine privative de liberté de manière anticipée, une telle exécution anticipée apparaissant ainsi prématurée.</w:t>
      </w:r>
    </w:p>
    <w:p>
      <w:r>
        <w:rPr>
          <w:b/>
        </w:rPr>
        <w:t>E. 4</w:t>
      </w:r>
    </w:p>
    <w:p>
      <w:r>
        <w:t>Il résulte de ce qui précède que c’est à bon droit que le Procureur a refusé de mettre le prévenu au bénéfice d'une exécution anticipée de peine. Partant, le recours, manifestement mal fondé, doit être rejeté sans autres échanges d’écritures (art. 390 al. 2 CPP). Les frais de la procédure de recours, constitués en l’espèce de l'émolument d'arrêt (art. 422 al. 1 CPP), par 770 fr. (art. 20 al. 1 TFJP [tarif des frais judiciaires pénaux; RSV 312.03.1]), et des frais imputables à la défense d’office (art. 422 al. 1 et 2 let. a CPP), fixés à 360 fr. plus la TVA, par 28 fr. 80, soit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Q.________ est fixée à 388 fr. 80 (trois cent huitante-huit francs et huitante centimes). IV. Les frais du présent arrêt, par 770 fr. (sept cent septante francs), ainsi que l’indemnité due au défenseur d’office du recourant selon le chiffre III ci-dessus, sont mis à la charge de Q.________. V. Le remboursement à l'Etat de l'indemnité allouée au chiffre III ci-dessus sera exigible pour autant que la situation économique de Q.________ se soit améliorée. VI. Le présent arrêt est exécutoire. Le président :               Le greffier : Du L'arrêt qui précède, dont la rédaction a été approuvée à huis clos, est notifié, par l'envoi d'une copie complète, à : - M. Georges Reymond, avocat (pour Q.________), - Ministère public central, Division affaires spéciales, contrôle et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