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515 vom 29. Juni 2012</w:t>
      </w:r>
    </w:p>
    <w:p>
      <w:r>
        <w:t>VD Tribunal cantonal, 2012-06-29, FR</w:t>
      </w:r>
    </w:p>
    <w:p>
      <w:r>
        <w:rPr>
          <w:b/>
        </w:rPr>
        <w:t xml:space="preserve">Quelle: </w:t>
      </w:r>
      <w:r>
        <w:t>https://mcp.opencaselaw.ch/entscheid/vd_findinfo_D_cision___2012___515</w:t>
      </w:r>
    </w:p>
    <w:p>
      <w:r>
        <w:t>FR: VD_FINDINFO Décision / 2012 / 515 du 29 juin 2012</w:t>
      </w:r>
    </w:p>
    <w:p>
      <w:r>
        <w:t>IT: VD_FINDINFO Décision / 2012 / 515 del 29 giugno 2012</w:t>
      </w:r>
    </w:p>
    <w:p>
      <w:pPr>
        <w:pStyle w:val="Heading2"/>
      </w:pPr>
      <w:r>
        <w:t>Regeste</w:t>
      </w:r>
    </w:p>
    <w:p>
      <w:r>
        <w:t>EXÉCUTION ANTICIPÉE DE LA PEINE | 236 CPP (CH)</w:t>
      </w:r>
    </w:p>
    <w:p>
      <w:pPr>
        <w:pStyle w:val="Heading2"/>
      </w:pPr>
      <w:r>
        <w:t>Erwägungen</w:t>
      </w:r>
    </w:p>
    <w:p>
      <w:r>
        <w:rPr>
          <w:b/>
        </w:rPr>
        <w:t>E. 1</w:t>
      </w:r>
    </w:p>
    <w:p>
      <w:r>
        <w:t>a)              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Bâle 2011, n. 10 ad art. 393 CPP; Hug, in : Donatsch/Hansjakob/Lieber (éd.), Kommentar zur Schweizerischen Strafprozessordnung, 2010, n. 17 ad art. 236 CPP ; CREP 12 juin 2012/294 c. 1a).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(Matthias Härri, in : Niggli/Heer/Wiprächtiger (éd.), Basler Kommentar, Schweizerische Strafprozess-ordnung, Jugendstrafprozessordnung, Bâle 2011, n. 4 ad art. 236 CPP et les réf. cit.). Dans le canton de Vaud, les modalités d’exécution figurent dans la loi du 7 novembre 2006 sur l’exécution de la détention avant jugement (LEDJ; RSV 312.07). b) De par sa nature, l’exécution anticipée des peines et des mesures de l’art. 236 CPP est une mesure de contrainte de la procédure pénale qui se classe à la limite entre la poursuite pénale et l’exécution de la peine; elle doit permettre d’offrir à l’accusé de meilleures chances de resocialisation dans le cadre de l’exécution de la peine avant même que le jugement n’entre en force (TF 1B_90/2012 du 21 mars 2012, c. 2.2; TF 1B_18/2012 du 27 janvier 2012, c. 2; ATF 133 I 270 c. 3.2.1, JT 2011 IV 3). La poursuite de la détention sous la forme de l’exécution anticipée de la peine suppose l’existence d’un motif de détention provisoire particulier, comme par exemple le risque de collusion ou le risque de fuite (TF 1B_90/2012 précité; ATF 117 Ia 72; Robert-Nicoud, in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Härri, op. cit., n. 18 ad art. 236 CPP et les réf. cit.; Robert-Nicoud, op. cit., n. 5 ad art. 236 CPP et les réf. cit.; cf. Hug, op. cit., n. 9 ad art. 236 CPP et les réf. cit.). L’art. 236 al. 4 CPP a cependant introduit dans la loi une réserve que connaissait la jurisprudence s’agissant du régime auquel le prévenu est soumis :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leur famille et d’autres personnes ainsi que recevoir des visites – a du reste été supprimé à l’entrée en vigueur du Code de procédure pénale. C’est dire que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au niveau des visites (art. 235 al. 2 CPP), du contrôle du courrier et du téléphone (art. 235 al. 3 CPP; cf. Härri, op. cit., n. 25 à 27 ad art. 236 CPP et les réf. cit., en particulier ad n. 27) –, laisse subsister un trop grand risque de collusion et met en danger le but de l’instruction.</w:t>
      </w:r>
    </w:p>
    <w:p>
      <w:r>
        <w:rPr>
          <w:b/>
        </w:rPr>
        <w:t>E. 3</w:t>
      </w:r>
    </w:p>
    <w:p>
      <w:r>
        <w:t>a) Dans le cas particulier, l’instruction a débuté il y a moins de trois mois, les faits s’étant déroulés le 14 avril 2012. Le prévenu, qui a été auditionné par la police (PV aud. 4) puis par la procureure (PV aud. 5) le 14 avril 2012, et à nouveau par la police (PV aud. 8) le 8 mai 2012, devra être réentendu. En outre, une expertise psychiatrique a été mise en œuvre le 15 juin 2012. On ne se trouve donc clairement pas à un stade de la procédure proche de la clôture de l’instruction, où la présence du prévenu ne serait plus immédiatement nécessaire à l’administration des preuves. Au contraire, la présence du prévenu demeure indispensable à l’administration de preuves importantes, ce qui s’oppose à ce qu’il soit autorisé à exécuter une peine privative de liberté de manière anticipée. b)              Au surplus, les modalités d’exécution anticipée de peine permettraient au prévenu de contacter les différents plaignants afin de faire pression sur eux. Une restriction du régime ordinaire de la détention au sens de l’art. 236 al. 4 CPP n’apparaît pas de nature à parer à ce danger. Au vu de la gravité des faits qui sont reprochés au prévenu et de ses lourds antécédents pénaux, un tel comportement peut sérieusement être redouté, nonobstant les déclarations du recourant selon lesquelles il serait conscient de la gravité des faits constituant l'objet de l'enquête et n’aurait aucune intention d’intervenir auprès des plaignants pour exercer sur eux quelque pression que ce soit. En outre, une telle prise de contact mettrait sérieusement en péril l’instruction. Le fait que les plaintes aient déjà été protocolées n'y change rien.</w:t>
      </w:r>
    </w:p>
    <w:p>
      <w:r>
        <w:rPr>
          <w:b/>
        </w:rPr>
        <w:t>E. 4</w:t>
      </w:r>
    </w:p>
    <w:p>
      <w:r>
        <w:t>Il résulte de ce qui précède que c’est à bon droit que la Procureure a refusé de mettre le prévenu au bénéfice d'une exécution anticipée de peine.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R.________ est fixée à 388 fr. 80 (trois cent huitante-huit francs et huitante centimes). IV. Les frais du présent arrêt, par 770 fr. (sept cent septante francs), ainsi que l’indemnité due au défenseur d’office du recourant selon le chiffre III ci-dessus, sont mis à la charge de R.________. V. Le remboursement à l'Etat de l'indemnité allouée au chiffre III ci-dessus sera exigible pour autant que la situation économique de R.________ se soit améliorée. VI. Le présent arrêt est exécutoire. Le président :               Le greffier : Du L'arrêt qui précède, dont la rédaction a été approuvée à huis clos, est notifié, par l'envoi d'une copie complète, à : - M. Georges Reymond, avocat (pour R.________), - Ministère public central, et communiqué à : - Madame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