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507 vom 18. Juni 2012</w:t>
      </w:r>
    </w:p>
    <w:p>
      <w:r>
        <w:t>VD Tribunal cantonal, 2012-06-18, FR</w:t>
      </w:r>
    </w:p>
    <w:p>
      <w:r>
        <w:rPr>
          <w:b/>
        </w:rPr>
        <w:t xml:space="preserve">Quelle: </w:t>
      </w:r>
      <w:r>
        <w:t>https://mcp.opencaselaw.ch/entscheid/vd_findinfo_D_cision___2012___507</w:t>
      </w:r>
    </w:p>
    <w:p>
      <w:r>
        <w:t>FR: VD_FINDINFO Décision / 2012 / 507 du 18 juin 2012</w:t>
      </w:r>
    </w:p>
    <w:p>
      <w:r>
        <w:t>IT: VD_FINDINFO Décision / 2012 / 507 del 18 giugno 2012</w:t>
      </w:r>
    </w:p>
    <w:p>
      <w:pPr>
        <w:pStyle w:val="Heading2"/>
      </w:pPr>
      <w:r>
        <w:t>Regeste</w:t>
      </w:r>
    </w:p>
    <w:p>
      <w:r>
        <w:t>DÉCISION D'IRRECEVABILITÉ, VOIES DE FAIT, PARENTS, EXCUSABILITÉ | 126 al. 2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w:t>
      </w:r>
    </w:p>
    <w:p>
      <w:r>
        <w:rPr>
          <w:b/>
        </w:rPr>
        <w:t>E. 2</w:t>
      </w:r>
    </w:p>
    <w:p>
      <w:r>
        <w:t>a)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Il est nécessaire qu’il apparaisse d’emblée que l’un des éléments constitutifs de l’infraction fait manifestement défaut (Cornu, in: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(Cornu, op. cit., n. 9 ad art. 310 CPP, p. 1411). b) Est punissable au sens de l'art. 126 al. 2 let. a CP celui qui se sera livré à réitérées reprises à des voies de fait qui n’auront causé ni lésion corporelle ni atteinte à la santé, sur une personne, notamment un enfant, dont il avait la garde ou sur laquelle il avait le devoir de veiller. A cet égard, la jurisprudence a laissé ouverte la question de savoir dans quelle mesure le droit des parents d'infliger de légères corrections corporelles à leur enfant existait encore (ATF 129 IV 216 c. 2.5), tout en précisant que l'introduction de l'art. 126 al. 2 let. a CP répondait à la volonté du législateur d'interdire tout mode d'éducation fondé sur la violence (ATF 129 IV 216 c. 3.1). En l'espèce, c'est à tort que la Procureure a considéré – sur la seule base des éléments de l'investigation policière – que les actes de B.K.________ relevaient du droit de correction des parents sur leur enfant. En effet, vu les contradictions qui existent entre les déclarations des parties et, surtout, vu les déclarations des fillettes concernant les coups reçus par leur père, il apparaît que le comportement de B.K.________ est susceptible de relever davantage d'un mode d'éducation fondé sur la violence que de l'exercice proportionné d'un droit de correction. A ce stade de la procédure, on ne peut donc pas d'emblée exclure que B.K.________ se soit rendu coupable d'une infraction. Aussi existe-t-il des soupçons suffisants pour laisser présumer qu'une infraction a été commise (cf. art. 309 al. 1 let. a CPP) et le Ministère public ne peut-il pas renoncer à l'ouverture d'une instruction.</w:t>
      </w:r>
    </w:p>
    <w:p>
      <w:r>
        <w:rPr>
          <w:b/>
        </w:rPr>
        <w:t>E. 3</w:t>
      </w:r>
    </w:p>
    <w:p>
      <w:r>
        <w:t>Le recours doit donc être admis et l'ordonnance de non-entrée en matière du 7 mars 2012 annulée. Le dossier de la cause sera renvoyé au Ministère public de l’arrondissement de La Côte pour qu'il ouvre une instruction, puis rende une nouvelle décision. L'émolument d'arrêt, par 660 fr. (art. 20 al. 1 TFJP [Tarif des frais judiciaires pénaux du 28 septembre 2010, RSV 312.03.1]), sera mis à la charge de B.K.________, qui succombe (art. 428 al. 1 CPP). Par ces motifs, la Chambre des recours pénale, statuant à huis clos, prononce : I. Le recours est admis. II. L'ordonnance de non-entrée en matière du 7 mars 2012 est annulée. III. Le dossier de la cause est renvoyé au Ministère public de l’arrondissement de La Côte pour qu'il ouvre une instruction, puis rende une nouvelle décision. IV. L'émolument d'arrêt, par 660 fr. (six cent soixante francs), est mis à la charge de B.K.________. VI. Le présent arrêt est exécutoire. Le président :               La greffière : Du L'arrêt qui précède, dont la rédaction a été approuvée à huis clos, est notifié, par l'envoi d'une copie complète, à : - M. Marc Cheseaux, avocat (pour A.K.________) - M. Valentin Aebischer, avocat (pour B.K.________)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