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480 vom 18. Juni 2012</w:t>
      </w:r>
    </w:p>
    <w:p>
      <w:r>
        <w:t>VD Tribunal cantonal, 2012-06-18, FR</w:t>
      </w:r>
    </w:p>
    <w:p>
      <w:r>
        <w:rPr>
          <w:b/>
        </w:rPr>
        <w:t xml:space="preserve">Quelle: </w:t>
      </w:r>
      <w:r>
        <w:t>https://mcp.opencaselaw.ch/entscheid/vd_findinfo_D_cision___2012___480</w:t>
      </w:r>
    </w:p>
    <w:p>
      <w:r>
        <w:t>FR: VD_FINDINFO Décision / 2012 / 480 du 18 juin 2012</w:t>
      </w:r>
    </w:p>
    <w:p>
      <w:r>
        <w:t>IT: VD_FINDINFO Décision / 2012 / 480 del 18 giugno 2012</w:t>
      </w:r>
    </w:p>
    <w:p>
      <w:pPr>
        <w:pStyle w:val="Heading2"/>
      </w:pPr>
      <w:r>
        <w:t>Regeste</w:t>
      </w:r>
    </w:p>
    <w:p>
      <w:r>
        <w:t>DÉTENTION PRÉVENTIVE, RISQUE DE FUITE, RISQUE DE COLLUSION, PROPORTIONNALITÉ | 221 al. 1 let. a CPP (CH), 221 al. 1 let. b CPP (CH), 227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par le prévenu en temps utile, devant l’autorité compétente et qui satisfait aux conditions de forme posées par l’art. 385 al. 1 CPP.</w:t>
      </w:r>
    </w:p>
    <w:p>
      <w:r>
        <w:rPr>
          <w:b/>
        </w:rPr>
        <w:t>E. 2</w:t>
      </w:r>
    </w:p>
    <w:p>
      <w:r>
        <w:t>Concernant tout d'abord le grief du recourant concernant l'absence de motivation de l'ordonnance de prolongation de la détention provisoire, on soulignera  que, selon le Tribunal fédéral, le fait que le premier juge renvoie aux motifs exposés à l'appui de sa précédente ordonnance ne viole pas le droit du recourant à une décision motivée ( TF 1P.465/2005 du 30 août 2005 c. 5 ; ATF 123 I 31 c. 2c). Le grief, mal fondé, doit être rejeté.</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Les conditions posées à l'art. 221 al.1 CPP sont alternatives et non cumulatives (CREP, 11 janvier 2012/6 c. 2). La détention provisoire et la détention pour des motifs de sûreté ne doivent pas durer plus longtemps que la peine privative de liberté prévisible (art. 212 al. 3 CPP).</w:t>
      </w:r>
    </w:p>
    <w:p>
      <w:r>
        <w:rPr>
          <w:b/>
        </w:rPr>
        <w:t>E. 4</w:t>
      </w:r>
    </w:p>
    <w:p>
      <w:r>
        <w:t>a) En l'espèce, c'est à tort que le recourant conteste l'existence de charges suffisantes à son égard. En effet, U.________ a été interpellé au volant d'un véhicule dans lequel se trouvaient les cinq sacs contenant notamment des produits cosmétiques et de maquillage, ainsi que des rasoirs. A ce stade de l'enquête, T.________ et Y.________ ont admis avoir volé à tout le moins une partie de ces marchandises. Certes, ils ont tous deux indiqué que le recourant n'était pas présent au moment des vols, mais, pour l'un d'eux au moins, à savoir T.________, le recourant savait qu'il transportait des marchandises volées (P. 11, réponse 18/2). On ne voit pas pour quelle raison celui-ci tenterait de "charger" inutilement son compatriote, ce d'autant que cette affirmation n'est pas susceptible d'alléger sa propre culpabilité. Quant à Y.________, il a certes indiqué que "son ami" ne connaissait pas la provenance délictueuse des produits volés (P. 10, réponse 19); on ne peut cependant pas écarter l'hypothèse que, compte tenu de leurs liens d'amitié, il ait voulu le protéger. En effet, à ce stade, les liens entre les deux individus sont encore flous, puisque les déclarations des deux hommes sont contradictoires au sujet de leur rencontre, celle-ci remontant tantôt à la veille de l'arrestation (P. 1, réponse 8), tantôt à trois mois avant en Espagne (P. 3, réponse 9), quand les prévenus ne font pas preuve d'une confusion totale en indiquant les deux à la fois dans la même réponse (P. 3, réponse 11). Enfin, les explications du recourant concernant la provenance des marchandises contenues dans les trois sacs qu'il a prétendu être les siens ne sont pas convaincantes. En effet, en l'état de l'instruction, on voit mal que ces produits – encore munis d'étiquettes et d'antivols provenant de commerces suisses – aient été acquis sur un marché en Hollande. A ce stade, il existe donc des éléments suffisants pour fonder des soupçons sérieux sur la participation du recourant à une activité délictueuse. Au demeurant, la valeur totale des marchandises trouvées dans les véhicules étant estimée à plus de 20'000 fr., il ne s'agit pas d'un cas de peu de gravité. b) Concernant ensuite le risque de fuite, celui-ci est manifestement réalisé en l'espèce. En effet, U.________ est un ressortissant géorgien. Il aurait un domicile et un droit de séjour en Espagne. Sa femme et sa fille vivent en Géorgie. Au moment de son appréhension en Suisse, il venait de Hollande au volant d'un véhicule immatriculé en Allemagne et il envisageait de se rendre en Italie. Au vu de ces éléments, les liens du recourant avec la Suisse sont particulièrement ténus. Aussi, considérant les charges qui pèsent sur lui, existe-t-il un risque concret qu'il cherche à se soustraire aux opérations de l'enquête. Enfin, contrairement à ce que soutient le recourant, il est sans importance au moment d'apprécier le risque de fuite que le prévenu dispose d'une adresse connue en Espagne (cf. sur ce point ATF 123 I 31 c. 3d). Par surabondance, le risque de collusion est également réalisé en l'espèce. En effet, à ce stade de l'enquête et malgré plusieurs auditions des prévenus, leurs déclarations sont toujours contradictoires sur un grand nombre de points importants de l'enquête, notamment sur les raisons de leur venue en Suisse, sur les circonstances de leur rencontre, sur les liens qui existent entre eux ou avec des tiers – notamment le propriétaire des véhicules qui est connu en Allemagne pour vol et escroquerie – ainsi que sur la provenance des marchandises volées. Aussi, les prévenus ne doivent-ils pas être autorisés à communiquer entre eux avant que l'enquête aboutisse sur ces questions. La prolongation de la détention provisoire étant justifiée au regard des risques de fuite et de collusion, il n'y a pas lieu d'examiner plus avant le motif tiré du risque de récidive. c)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U.________ est détenu depuis moins de trois mois. Mis en cause pour vol en bande et par métier, le prévenu s'expose à une peine privative de liberté d’une durée très nettement supérieure à celle de la détention provisoire subie à ce jour si les faits sont avérés. Par conséquent, le principe de proportionnalité des intérêts en présence demeure respecté. Enfin, le grief du recourant relatif à l'absence de mesure d'instruction depuis les auditions du</w:t>
      </w:r>
    </w:p>
    <w:p>
      <w:r>
        <w:rPr>
          <w:b/>
        </w:rPr>
        <w:t>E. 9</w:t>
      </w:r>
    </w:p>
    <w:p>
      <w:r>
        <w:t>mai 2012 n'est pas pertinent. En effet, il apparaît que le Ministère public est dans l'attente des résultats de la surveillance rétroactive du raccordement [...] ordonnée le 24 avril 2012. Cette mesure d'instruction devrait notamment lui permettre d'établir plus précisément l'ampleur de l'activité délictuelle, d'identifier d'éventuels complices, d'établir les liens entre le recourant et les autres protagonistes. L'instruction se poursuit donc et il n'y a pas de retard injustifié dans l'avancement de la procédure. 5. Partant,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d'U.________ est fixée à 486 fr. (quatre cent huitante-six francs), TVA comprise. IV. Les frais du présent arrêt, par 990 fr. (neuf cent nonante francs), ainsi que l'indemnité due au défenseur d'office d'U.________, par 486 fr. (quatre cent huitante-six francs), sont mis à la charge de celui-ci. V. Le remboursement à l'Etat de l'indemnité allouée au chiffre III. ci-dessus sera exigible pour autant que la situation économique d'U.________ se soit améliorée. VI. Le présent arrêt est déclaré exécutoire. Le président :               La greffière : Du L'arrêt qui précède, dont la rédaction a été approuvée à huis clos, est notifié, par l'envoi d'une copie complète, à : - M. Samuel Pahud, avocat (pour U.________) - Ministère public central, et communiquée à : ‑ M. le Président du Tribunal des mesures de contrainte,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