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474 vom 13. Juni 2012</w:t>
      </w:r>
    </w:p>
    <w:p>
      <w:r>
        <w:t>VD Tribunal cantonal, 2012-06-13, FR</w:t>
      </w:r>
    </w:p>
    <w:p>
      <w:r>
        <w:rPr>
          <w:b/>
        </w:rPr>
        <w:t xml:space="preserve">Quelle: </w:t>
      </w:r>
      <w:r>
        <w:t>https://mcp.opencaselaw.ch/entscheid/vd_findinfo_D_cision___2012___474</w:t>
      </w:r>
    </w:p>
    <w:p>
      <w:r>
        <w:t>FR: VD_FINDINFO Décision / 2012 / 474 du 13 juin 2012</w:t>
      </w:r>
    </w:p>
    <w:p>
      <w:r>
        <w:t>IT: VD_FINDINFO Décision / 2012 / 474 del 13 giugno 2012</w:t>
      </w:r>
    </w:p>
    <w:p>
      <w:pPr>
        <w:pStyle w:val="Heading2"/>
      </w:pPr>
      <w:r>
        <w:t>Regeste</w:t>
      </w:r>
    </w:p>
    <w:p>
      <w:r>
        <w:t>DÉTENTION PRÉVENTIVE | 221 CPP (CH)</w:t>
      </w:r>
    </w:p>
    <w:p>
      <w:pPr>
        <w:pStyle w:val="Heading2"/>
      </w:pPr>
      <w:r>
        <w:t>Volltext</w:t>
      </w:r>
    </w:p>
    <w:p>
      <w:r>
        <w:t>Vaud Tribunal cantonal Chambre des tutelles 13.06.2012 Décision / 2012 / 474</w:t>
      </w:r>
    </w:p>
    <w:p>
      <w:r>
        <w:t>DÉTENTION PRÉVENTIVE | 221 CPP (CH)</w:t>
      </w:r>
    </w:p>
    <w:p>
      <w:r>
        <w:t>TRIBUNAL CANTONAL 293 PE12.006662-GRV CHAMBRE DES RECOURS PENALE __________________________________________ Séance du 13 juin 2012 __________________ Présidence de               M. Krieger , président Juges :              Mme Epard et M. Abrecht Greffière :              Mme Rouiller ***** Art. 221 CPP Vu l'enquête n o PE12.006662-GMT instruite contre Y.________ par le Ministère public de l'arrondissement du Nord vaudois pour brigandage, infractions à la LCR (Loi fédérale sur la circulation routière du 19 décembre 1958; RS 741.01) et contravention à la LStup (Loi fédérale du 3 octobre 1951 sur les stupéfiants et les substances psychotropes; RS 812.121), vu l'ordonnance rendue le 15 avril 2012 par le Tribunal des mesures de contrainte ordonnant la détention provisoire d'Y.________ pour une durée maximale de trois mois, soit au plus tard jusqu'au 13 juillet 2012, vu la demande de libération de la détention provisoire présentée par Y.________, transmise avec un préavis défavorable par le Parquet au Tribunal des mesures de contrainte le 26 avril 2012, vu l'ordonnance de refus de libération de la détention provisoire rendue le 1 er mai 2012 par le Tribunal des mesures de contrainte, vu l'écriture du 16 mai 2012, par laquelle d'Y.________ a requis sa libération immédiate, vu la détermination du Ministère public du 21 mai 2012, concluant au rejet de cette demande, vu l'ordonnance de refus de libération de la détention provisoire rendue par le Tribunal des mesures de contrainte le 30 mai 2012, vu l'ordonnance rectificative du même jour, par laquelle le Tribunal des mesures de contrainte a précisé qu'au vu du risque concret de récidive existant, il se justifiait de maintenir l'intéressé en détention provisoire, vu le recours interjeté le 11 juin 2012 par Y.________ contre cette ordonnance, vu les pièces du dossier; attendu qu'Y.________ conclut à l'admission de son recours et à l'annulation de l'ordonnance de détention provisoire rendue le 30 mai 2012, ainsi qu'à la levée immédiate et sans condition de la mesure de détention provisoire prononcée à son encontre, subsidiairement à la levée immédiate de cette mesure avec mise en place d'une mesure de surveillance technique, attendu que la décision du Tribunal des mesures de contrainte ordonnant la prolongation de la détention provisoire peut faire l'objet d'un recours (art. 222 al. 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ces trois conditions ne sont pas cumulatives, que le fait que l'une d'elles au moins soit réalisée permet de justifier la détention provisoire,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provisoire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Y.________ a été arrêté par la police, car soupçonné d'être entré cagoulé et armé d'une mitraillette ressemblant à une Kalachnikov en compagnie de [...] également cagoulé, dans le pub " [...]" à [...], et d'avoir commandé à l'employée de rester tranquille avant d'emporter une somme comprise entre huit et dix mille francs et de rejoindre [...] qui attendait dans une voiture, qu'en l'état du dossier, il existe des soupçons suffisants de culpabilité à l'égard d'Y.________, qui a peu ou prou admis les faits, et qui est également mis en cause par [...], et par [...], qu'au vu de ces éléments, il existe des présomptions de culpabilité suffisantes à l'encontre d'Y.________, attendu que l'ordonnance attaquée se fonde sur un risque concret de récidive, qu'une détention provisoire fondée sur un tel risque exige que le prévenu ait déjà commis des infractions du même genre que celles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conteste l'existence d'un risque de récidive, arguant qu'il ne démontre aucune pulsion au crime, que sa famille l'aide à retrouver un emploi et à réorganiser sa vie sociale, et que la détention provisoire déjà subie depuis deux mois a pu le détourner de toute volonté de commettre un nouveau braquage, que, cependant, Y.________, qui avait déjà été condamné le 8 octobre 2010 pour vol en bande et brigandage notamment, par le Tribunal des mineurs à une peine de cinq mois de privation de liberté, assortie d'un sursis de dix-huit mois, a récidivé cinq jours après l'échéance du délai de sursis, que l'acte commis est grave, qu'une expertise psychiatrique vient d'être mise en œuvre afin de déterminer le risque de récidive et si une mesure pourrait s'avérer justifiée pour juguler ce risque, qu'il convient d'attendre les premiers résultats de cette expertise avant d'envisager une mesure de substitution, que, pour le surplus, la potentielle réinsertion dont se prévaut le recourant n'est pas déterminante, dès lors que ni la possibilité de se marier, ni la nécessité de trouver un emploi n'ont empêché celui-ci de récidiver, qu'au vu de ce qui précède le risque de récidive est sérieux et concret, qu'au demeurant, la détention est proportionnée compte tenu de la gravité de l'infraction et de la peine encourue par le prévenu - incarcéré depuis le 14 avril 2012 - qui a déjà été condamné dix-huit mois plus tôt pour brigandage notamment, attendu que l'ordonnance se fonde également sur un risque de collusion,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ATF 128 I 149 c. 2.1; ATF 123 I 31 c. 3c; ATF 117 Ia c. 4b-c), que, dans le cas présent, l'enquête qui débute a pour but de confondre les auteurs des infractions, que des investigations sont encore en cours, notamment quant à l'étendue de l'activité délictueuse et aux individus mêlés au brigandage, qu'en outre, le butin n'a pas été entièrement retrouvé, que les données issues de la surveillance téléphonique rétroactive sont en cours d'analyse, qu'un risque de collusion existe tant que toutes ces opérations n'auront pas été exécutées, l'intéressé pouvant, après sa libération, entrer en contact avec des tiers pour tenter d'influencer la vérité, que seule la détention est en mesure de limiter ce risque, qu'en l'espèce, la détention étant justifiée en raison du risque de récidive et de collusion, il n'est pas nécessaire de déterminer si le risque de fuite évoqué par l'art. 221 al. 1 let. a CPP est aussi à craindre,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 ultima ratio , que ces mesures de substitution sont décrites à l'art. 237 al. 2 CPP : fourniture de sûretés, saisie de documents, assignation à résidence, obligation de se présenter régulièrement à un service administratif, travail régulier, obligation de se soumettre à un traitement médical ou à des contrôles, et interdiction d'entretenir des relations avec certaines personnes, que la surveillance technique proposée par le recourant ne permet de pallier ni le risque de récidive, ni celui de collusion, qu'il n'existe dès lors aucune alternative à la détention provisoire en la forme de mesures de substitution,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770 fr. (sept cent septante francs) (art. 20 al. 1 TFJP [Tarif des frais judiciaires pénaux du 28 septembre 2010, RSV 312.03.1]), ainsi que les frais imputables à la défense d’office (art. 422 al. 1 et al. 2 let. a CPP), fixés à 450 fr., plus la TVA (par 36 fr.), sont mis à la charge du recourant, qui succombe (art. 428 al. 1 CPP), que le remboursement à l’Etat de l’indemnité allouée au défenseur d’office d'Y.________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TVA incluse, l'indemnité due au défenseur d'office d'Y.________. IV. Dit que les frais du présent arrêt, par 770 fr. (sept cent septante francs), ainsi que l'indemnité due au défenseur d'Y.________, par 486 fr. (quatre cent huitante-six francs) sont mis à la charge de ce dernier. V. Déclare le présent arrêt exécutoire. Le président :               La greffière : Du La décision qui précède, dont la rédaction a été approuvée à huis clos, est notifiée, par l'envoi d'une copie complète, à : - Me Lionel Zeiter, avocat (pour Y.________), - Ministère public central, et communiquée à : ‑ M. le Président du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