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404 vom 25. Mai 2012</w:t>
      </w:r>
    </w:p>
    <w:p>
      <w:r>
        <w:t>VD Tribunal cantonal, 2012-05-25, FR</w:t>
      </w:r>
    </w:p>
    <w:p>
      <w:r>
        <w:rPr>
          <w:b/>
        </w:rPr>
        <w:t xml:space="preserve">Quelle: </w:t>
      </w:r>
      <w:r>
        <w:t>https://mcp.opencaselaw.ch/entscheid/vd_findinfo_D_cision___2012___404</w:t>
      </w:r>
    </w:p>
    <w:p>
      <w:r>
        <w:t>FR: VD_FINDINFO Décision / 2012 / 404 du 25 mai 2012</w:t>
      </w:r>
    </w:p>
    <w:p>
      <w:r>
        <w:t>IT: VD_FINDINFO Décision / 2012 / 404 del 25 maggio 2012</w:t>
      </w:r>
    </w:p>
    <w:p>
      <w:pPr>
        <w:pStyle w:val="Heading2"/>
      </w:pPr>
      <w:r>
        <w:t>Regeste</w:t>
      </w:r>
    </w:p>
    <w:p>
      <w:r>
        <w:t>ASSIGNATION À RÉSIDENCE, PROFESSION, PRONOSTIC, EXÉCUTION DES PEINES ET DES MESURES | 38 al. 1 LEP, 38 al. 2 LEP, 2 Rad1</w:t>
      </w:r>
    </w:p>
    <w:p>
      <w:pPr>
        <w:pStyle w:val="Heading2"/>
      </w:pPr>
      <w:r>
        <w:t>Erwägungen</w:t>
      </w:r>
    </w:p>
    <w:p>
      <w:r>
        <w:rPr>
          <w:b/>
        </w:rPr>
        <w:t>E. 1</w:t>
      </w:r>
    </w:p>
    <w:p>
      <w:r>
        <w:t>a) L’art. 36 LEP (loi du 4 juillet 2006 sur l’exécution des condamnations pénales; RSV 340.01) prévoit que le Juge d'application des peines est notamment compétent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 RS 312.0). Le recours doit ainsi être adressé dans les dix jours à l’autorité de recours (art. 396 al. 1 CPP). b) En l'espèce, il y a lieu d’entrer en matière sur le recours, qui a été interjeté en temps utile et devant l'autorité compétente.</w:t>
      </w:r>
    </w:p>
    <w:p>
      <w:r>
        <w:rPr>
          <w:b/>
        </w:rPr>
        <w:t>E. 2</w:t>
      </w:r>
    </w:p>
    <w:p>
      <w:r>
        <w:t>al. 2 let. c Rad1 et le régime des arrêts domiciliaires doit lui être refusé pour ce motif déjà. Par surabondance, la situation familiale difficile dont se prévaut le recourant ainsi que les différents certificats médicaux qu'il a produits concernant l'état de santé de son épouse ne sont pas susceptibles d'influencer le pronostic manifestement défavorable qui doit être posé dans le cas d'espèce. En effet, les antécédents pénaux du recourant – qui en est à sa dixième condamnation depuis mars 2000 – et le fait que celui-ci ait récidivé quelques jours seulement après son jugement du 17 février 2010 ne permettent pas de considérer qu'il est digne de la confiance nécessaire à l'octroi du régime des arrêts domiciliaires au sens de l'art. 2 al. 1 Rad1. En raison de son caractère et de ses antécédents, il ne paraît pas capable d'en respecter les conditions. Il résulte de ce qui précède que les conditions de l'art. 2 al. 1 et 2 Rad1 concernant l'octroi du régime des arrêts domiciliaires ne sont pas remplies.</w:t>
      </w:r>
    </w:p>
    <w:p>
      <w:r>
        <w:rPr>
          <w:b/>
        </w:rPr>
        <w:t>E. 3</w:t>
      </w:r>
    </w:p>
    <w:p>
      <w:r>
        <w:t>Le recours, manifestement mal fondé, doit donc être rejeté sans autres échanges d'écritures (art. 390 al. 2 CPP) et l'arrêt du Juge d'application des peines du 11 mai 2012 confirmé. Les frais de la procédure de recours, constitués en l’espèce de l’émolument d'arrêt, par 660 fr. (art. 20 al. 1 TFJP [Tarif des frais judiciaires pénaux, RSV 312.03.1]), seront mis à la charge du recourant qui succombe (art. 428 al. 1 CPP). Par ces motifs, la Chambre des recours pénale, statuant à huis clos, prononce : I. Le recours est rejeté. II. L'arrêt du Juge d'application des peines du 11 mai 2012 est confirmé. III. Les frais de la procédure de recours, par 660 fr. (six cent soixante francs), sont mis à la charge de E.________. IV. Le présent arrêt est exécutoire. Le président :               La greffière : Du L'arrêt qui précède, dont la rédaction a été approuvée à huis clos, est notifié, par l'envoi d'une copie complète, à : - M. E.________ - Ministère public central, et communiqué à : ‑ Mme la Juge d'application des peines, - Office d'exécution des peines (OEP/PPL/33981/VRI/CTI),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