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403 vom 5. April 2012</w:t>
      </w:r>
    </w:p>
    <w:p>
      <w:r>
        <w:t>VD Tribunal cantonal, 2012-04-05, FR</w:t>
      </w:r>
    </w:p>
    <w:p>
      <w:r>
        <w:rPr>
          <w:b/>
        </w:rPr>
        <w:t xml:space="preserve">Quelle: </w:t>
      </w:r>
      <w:r>
        <w:t>https://mcp.opencaselaw.ch/entscheid/vd_findinfo_D_cision___2012___403</w:t>
      </w:r>
    </w:p>
    <w:p>
      <w:r>
        <w:t>FR: VD_FINDINFO Décision / 2012 / 403 du 5 avril 2012</w:t>
      </w:r>
    </w:p>
    <w:p>
      <w:r>
        <w:t>IT: VD_FINDINFO Décision / 2012 / 403 del 5 aprile 2012</w:t>
      </w:r>
    </w:p>
    <w:p>
      <w:pPr>
        <w:pStyle w:val="Heading2"/>
      </w:pPr>
      <w:r>
        <w:t>Regeste</w:t>
      </w:r>
    </w:p>
    <w:p>
      <w:r>
        <w:t>ASSISTANCE JUDICIAIRE | 136 CPP (CH)</w:t>
      </w:r>
    </w:p>
    <w:p>
      <w:pPr>
        <w:pStyle w:val="Heading2"/>
      </w:pPr>
      <w:r>
        <w:t>Erwägungen</w:t>
      </w:r>
    </w:p>
    <w:p>
      <w:r>
        <w:rPr>
          <w:b/>
        </w:rPr>
        <w:t>E. 1</w:t>
      </w:r>
    </w:p>
    <w:p>
      <w:r>
        <w:t>CPP), le recours a été déposé en temps utile devant l’autorité compétente; il satisfait en outre aux conditions de forme posées par l’art. 385 al. 1 CPP. Il est donc recevable.</w:t>
      </w:r>
    </w:p>
    <w:p>
      <w:r>
        <w:rPr>
          <w:b/>
        </w:rPr>
        <w:t>E. 2</w:t>
      </w:r>
    </w:p>
    <w:p>
      <w:r>
        <w:t>a) Selon l’art. 136 al. 1 CPP, la direction de la procédure accorde entièrement ou partiellement l’assistance judiciaire à la partie plaignante pour lui permettre de faire valoir ses prétentions civiles, à condition que (a) la partie plaignante soit indigente et que (b) l’action civile ne paraisse pas vouée à l’échec. Aux termes de l’art. 136 al. 2 CPP, l’assistance judiciaire comprend (a) l’exonération d’avances de frais et de sûretés, (b) l’exonération des frais de procédure et (c) la désignation d’un conseil juridique gratuit, lorsque la défense des intérêts de la partie plaignante l’exige. b)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(Mazzuchelli/Postizzi, in : Niggli/Heer/Wiprächtiger [éd.], Basler Kommentar, Schweizerische Strafprozessordnung, Jugendstraf-prozessordnung, Bâle 2011, n. 16 ad art. 136 CPP; Harari/Corminboeuf,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tels que le fait d’être mineur, l’état de santé physique ou psychique ou l’absence de maîtrise de la langue de la procédure (ATF 123 I 145 c. 2b/cc et la jurisprudence citée; Harari/Corminboeuf, op. cit., nn. 62 s. ad art. 136 CPP). Le fait que la partie adverse est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p. 588).</w:t>
      </w:r>
    </w:p>
    <w:p>
      <w:r>
        <w:rPr>
          <w:b/>
        </w:rPr>
        <w:t>E. 3</w:t>
      </w:r>
    </w:p>
    <w:p>
      <w:r>
        <w:t>a) En l'espèce, il peut être admis que la condition de l'indigence au sens de l'art. 136 al. 1 let. a CPP est suffisamment établie. En effet, la plaideuse rend vraisemblable que ses revenus mensuels se montent à 3'940 fr. 65, soit des d'indemnités de chômage par 2'440 fr. 65 et des pensions alimentaires par 1'500 fr. par mois au total; même si ce point n'est pas étayé par pièces, il n'en reste pas moins plausible. Or, les charges de la plaignante se montent à 3'986 fr. 90 par mois, au regard d'un minimum vital de 1'350 fr. pour la recourante, de 1'200 fr. pour trois enfants, de 418 fr. 90 de primes d'assurance-maladie (après subsides de l'Organe cantonal de contrôle de l'assurance-maladie et accidents) et de 1'018 fr. de loyer. Ces postes sont suffisants pour admettre que la partie ne dispose pas de moyens de rémunérer un conseil et qu'elle est dès lors indigente au sens de la loi. b) De même, il apparaît que l'action civile ne paraît pas vouée à l'échec selon l'art. 136 al. 1 let. b CPP. En effet, il doit d'abord être relevé que, contrairement à ce que retient le procureur, la plaignante s'est portée partie civile, même si elle n'a pas encore chiffré ses conclusions. Ensuite, le grief selon lequel Q.________ en particulier aurait mentionné des excès de boissons commis par la recourante ne paraît pas exclu de prime abord au vu de la procédure, tout comme il ressort de l'avis médical produit à l'appui de la plainte que l'intéressée ne présente pas de dépendance éthylique. Il va sans dire que, si elles devaient être établies et tenues pour infondées, de telles allégations d'ivrognerie colportées tant à l'intérieur de l'entreprise qu'à l'égard de tiers extérieurs seraient de nature à causer un préjudice moral et économique notable à leur victime, s'agissant surtout d'une personne occupée dans la branche du vin. Son crédit professionnel est en particulier susceptible d'en pâtir auprès d'éventuels nouveaux employeurs. Il y a donc lieu d'accorder à la plaideuse une exonération d’avances de frais et de sûretés, ainsi que des frais de procédure au titre de l'assistance judiciaire selon l'art. 136 al. 2 let. a et b CPP. c) Cela étant, en plus des deux conditions ci-dessus, il faut que l'assistance d'un avocat se révèle nécessaire à la défense des intérêts du plaignant, s'agissant de la désignation d'un conseil juridique gratuit (cf. art. 136 al. 2 let. c CPP). Dans le cas particulier, les faits incriminés apparaissent en l'état limités à des paroles. A défaut de traces écrites au stade actuel de la procédure, ils peuvent ainsi s'avérer relativement difficiles à établir. Des auditions détaillées pourront donc s'avérer nécessaires, s'agissant notamment d'ex-collègues de travail et/ou de personnes de la branche. Certes, les éléments précités à eux seuls ne justifient pas l'assistance d'un conseil juridique (ATF 116 Ia 459 précité, ibid.), même si la procédure est susceptible de poser des questions de compétences intercantonales à raison du lieu, vu le siège et, semble-t-il, le lieu d'exploitation valaisans de la société [...]. La spécificité du présent cas réside cependant ailleurs. En effet, les faits de la cause s'inscrivent d'abord dans le contexte d'un conflit du travail dont l'origine (le licenciement, tenu pour injustifié, de la travailleuse) apparaît en l'état indissociable des propos médisants dont la plaignante se dit victime tant au sein de l'entreprise qui l'employait qu'à l'égard de tiers extérieurs. Si ces rumeurs d'ivrognerie venaient à être vérifiées quant à leur existence et invalidées quant à leur véracité, elles ne pourraient que conforter sa position dans le conflit du travail. L'inverse peut aussi être retenu. Ces circonstances portent ainsi à croire que tout ou partie du dossier pénal sera produit dans la procédure civile si celle-ci venait à être ouverte. Ensuite, les faits en question sont lourds de conséquences pour l'avenir professionnel de la recourante. Enfin, le prévenu Q.________ est assisté. En présence de tels éléments spécifiques s'ajoutant à la complexité des faits, peu importe que la recourante soit de langue française et ait même exercé une profession semblant requérir des aptitudes intellectuelles. Il doit donc être tenu pour établi en l'état que la plaignante, qui a de surcroît connu une longue incapacité de travail, est quelque peu dépassée par la procédure et qu'elle ne peut dès lors faire valoir ses intérêts seule, notamment lors des auditions. d) Au vu de ce qui précède, les conditions pour que la recourante soit mise au bénéfice de l’assistance judiciaire gratuite au sens de l'art. 136 al. 2 CPP sont réunies. L’ordonnance entreprise doit dès lors être modifiée en ce sens que la requête d’octroi d’assistance judiciaire est admise, tout comme l'est la demande de désignation d’un conseil juridique gratuit en la personne de Me Irène Wettstein Martin, d’ores et déjà consultée.</w:t>
      </w:r>
    </w:p>
    <w:p>
      <w:r>
        <w:rPr>
          <w:b/>
        </w:rPr>
        <w:t>E. 4</w:t>
      </w:r>
    </w:p>
    <w:p>
      <w:r>
        <w:t>En définitive, le recours doit être admis et l’ordonnance réformée dans le sens des considérants qui précèdent. Me Irène Wettstein Martin est en outre désignée comme conseil juridique gratuit de la recourante également pour la présente procédure de recours. Vu l’issue du recours, les frais de la procédure de recours, constitués en l’espèce de l’émolument d'arrêt (art. 422 al. 1 CPP), par 770 fr. (art. 20 al. 1 TFJP [tarif des frais judiciaires pénaux du 28 septembre 2010; RSV 312.03.1]), ainsi que les frais imputables à l'assistance judiciaire gratuite (art. 422 al. 1 et al. 2 let. a CPP), fixés à 720 fr. débours compris, plus la TVA, par 57 fr. 60, soit 777 fr. 60 au total, sont laissés à la charge de l’Etat (art. 428 al. 4 CPP; Domeisen, in : Niggli/Heer/ Wiprächtiger [éd.], op. cit., n. 8 ad art. 428 CPP). Par ces motifs, la Chambre des recours pénale, statuant à huis clos : I. Admet le recours. II. Réforme l'ordonnance en ce sens que la requête d'octroi de l'assistance judiciaire et de désignation d'un conseil juridique gratuit en la personne de Me Irène Wettstein Martin est admise. III. Désigne Me Irène Wettstein Martin pour la présente procédure de recours et fixe son indemnité à 777 fr. 60 (sept cent septante-sept francs et soixante centimes). IV. Dit que les frais du présent arrêt, par 770 fr. (sept cent septante francs), ainsi que l'indemnité due au conseil juridique gratuit de M.________, par 777 fr. 60 (sept cent septante-sept francs et soixante centimes), sont laissés à la charge de l'Etat. V. Déclare le présent arrêt exécutoire. Le président :               Le greffier : Du L'arrêt qui précède, dont la rédaction a été approuvée à huis clos, est notifié, par l'envoi d'une copie complète, à : - Mme Irène Wettstein Martin, avocate (pour M.________),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