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349 vom 8. Mai 2012</w:t>
      </w:r>
    </w:p>
    <w:p>
      <w:r>
        <w:t>VD Tribunal cantonal, 2012-05-08, FR</w:t>
      </w:r>
    </w:p>
    <w:p>
      <w:r>
        <w:rPr>
          <w:b/>
        </w:rPr>
        <w:t xml:space="preserve">Quelle: </w:t>
      </w:r>
      <w:r>
        <w:t>https://mcp.opencaselaw.ch/entscheid/vd_findinfo_D_cision___2012___349</w:t>
      </w:r>
    </w:p>
    <w:p>
      <w:r>
        <w:t>FR: VD_FINDINFO Décision / 2012 / 349 du 8 mai 2012</w:t>
      </w:r>
    </w:p>
    <w:p>
      <w:r>
        <w:t>IT: VD_FINDINFO Décision / 2012 / 349 del 8 maggio 2012</w:t>
      </w:r>
    </w:p>
    <w:p>
      <w:pPr>
        <w:pStyle w:val="Heading2"/>
      </w:pPr>
      <w:r>
        <w:t>Regeste</w:t>
      </w:r>
    </w:p>
    <w:p>
      <w:r>
        <w:t>PROPORTIONNALITÉ, RISQUE DE RÉCIDIVE, ORDRE PUBLIC{EN GÉNÉRAL} | 221 al. 1 let. c CPP (CH), 221 CPP (CH), 222 CPP (CH)</w:t>
      </w:r>
    </w:p>
    <w:p>
      <w:pPr>
        <w:pStyle w:val="Heading2"/>
      </w:pPr>
      <w:r>
        <w:t>Erwägungen</w:t>
      </w:r>
    </w:p>
    <w:p>
      <w:r>
        <w:rPr>
          <w:b/>
        </w:rPr>
        <w:t>E. 1</w:t>
      </w:r>
    </w:p>
    <w:p>
      <w:r>
        <w:t>a) Aux termes de l’art. 393 al. 1 let. c CPP (Code de procédure pénale suisse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Adressé par écrit, dans le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 RS 173.01]), le recours est donc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Selon la jurisprudence constante du Tribunal fédéral, pour qu'une personne soit placée ou maintenue en détention provisoire, il doit exister à son égard des charges suffisantes ou des indices sérieux de culpabilité, c'est-à-dire des raisons plausibles de la soupçonner d'avoir commis une infraction. En l'espèce, l'existence d'une présomption sérieuse de culpabilité n'est pas contestée. Celle-ci ressort d'ailleurs clairement du dossier et elle est renforcée par les déclarations de B.________. c) Comme on l’a vu ci-dessus (cf. c. 2a supra), le maintien en détention provisoire se justifie lorsqu’il y a lieu de craindre que le prévenu compromette sérieusement la sécurité d’autrui par des crimes ou des délits graves après avoir déjà commis des infractions du même genre (art. 221 al. 1 let. c CPP). A ce propos, la jurisprudence a précisé que le risque de récidive pouvait également se fonder sur les infractions faisant l'objet de la procédure pénale en cours, si le prévenu était fortement soupçonné – avec une probabilité confinant à la certitude – de les avoir commises (ATF 137 IV 84 c. 3.2; TF 1B_ 731/2011 du 16 janvier 2012). En l'espèce, la condamnation de 2008 et les nombreuses infractions commises depuis novembre 2010 – pour lesquelles la culpabilité de B.________ est plus que vraisemblable au vu des éléments du dossier et des aveux, partiels, du prévenu – constituent des antécédents susceptibles de fonder un risque de réitération au sens de l'art. 221 al. 1 let. c CPP, ce que le Tribunal des mesures de contrainte avait d'ailleurs également retenu. Il reste dès lors à examiner si le comportement du prévenu compromet sérieusement la sécurité d'autrui au sens de cette même disposition. A cet égard, il est reproché à B.________ d'avoir commis plus de quarante vols dans des véhicules, parfois en usant de la force pour briser les vitres desdits véhicules. Certes, il n'a à ce jour causé que des dégâts matériels. Toutefois, dans une situation similaire, le Tribunal fédéral a retenu que la situation aurait pu dégénérer si le prévenu – qui avait commis des cambriolages et cassé des vitrines – avait rencontré de la résistance, considérant que "la réaction d'un cambrioleur peut être imprévisible et [qu']il n'est pas exclu qu'il s'en prenne physiquement à des tiers pour échapper à une interpellation ou sous l'effet de la panique" (TF 1B_ 731/2011 du 16 janvier 2012, c. 3.3). Ces considérations sont applicables au cas d'espèce. En effet, on ne sait pas quelles auraient été les réactions de B.________ s'il avait été surpris. Ainsi, au regard des antécédents du prévenu, de l'extrême fréquence des infractions qui lui sont reprochés dans le cadre de la présente enquête ainsi que du risque de récidive significatif et des diagnostics de schizophrénie indifférenciée et de syndrome de dépendance à des substances psycho-actives multiples retenus dans l'expertise psychiatrique – lesquels sont susceptibles d'accentuer l'imprévisibilité du prévenu – on doit admettre que l'activité délictueuse déployée par B.________ est de nature à compromettre sérieusement la sécurité au sens de l'art. 221 al. 1 let. c CPP. En outre, lorsqu'un prévenu est fortement soupçonné d'avoir commis plus de quarante vols dans des véhicules, dont un certain nombre avec effraction, et qu'il est susceptible d'être condamné pour vol par métier (art. 139 ch. 2 CP, qui prévoit une peine privative de liberté de dix ans au plus ou une peine pécuniaire de 90 jours au moins), on doit admettre qu'il compromet sérieusement la sécurité publique par l'ampleur de son activité criminelle. Enfin, le risque de réitération est concret puisque ni les périodes de détention provisoire subies dans le cadre de la présente enquête, ni la mesure de substitution sous la forme de l'obligation de se soumettre à un traitement ambulatoire, ni encore l'admission de l'intéressé à la Fondation du Levant ne l'ont dissuadé de commettre à nouveau des actes délictueux, parfois quelques jours seulement après avoir retrouvé sa liberté. En définitive, les conditions posées par l’art. 221 al. 1 let. c CPP sont remplies et il se justifie d'ordonner le maintien de B.________ en détention. d) Au regard du principe de proportionnalité, il n'y a pas lieu de limiter la durée de la détention provisoire. En effet, au regard des charges qui pèsent sur le prévenu, s'agissant en particulier du nombre élevé d'infractions commises, de la circonstance aggravante du métier au sens de l’art. 139 ch. 2 CP qui pourrait être retenue à sa charge et du concours d'infractions, B.________ est susceptible d’être condamné à une peine privative de liberté sensiblement supérieure aux huit mois de détention provisoire subie à ce jour. Le principe de la proportionnalité demeure donc respecté. La conclusion serait identique si l'on devait tenir compte d'une responsabilité restreinte, étant toutefois précisé qu'il appartiendra au juge du fond de déterminer le degré de responsabilité du prévenu (TF 1P.816/2006 du 27 décembre 2006). e) Enfin, il y a lieu d'examiner si des mesures du substitution au sens de l'art. 237 CPP peuvent être ordonnées en lieu et place de la détention provisoire. A cet égard, les mesures proposée par le prévenu, à savoir l'obligation de poursuivre le traitement entrepris à la Fondation du Levant, éventuellement assortie d'une assignation à résidence ou d'une obligation de se soumettre à des contrôles d'urine réguliers, n'apparaissent pas susceptible d'atteindre le même but que la détention provisoire. En effet, l'opportunité a d'ores et déjà été donnée à B.________ de faire ses preuves dans le cadre d'un placement volontaire à la Fondation du Levant, dont il a fugué à réitérées reprises – la première fois quelques jours seulement après son admission – pour consommer des stupéfiants et commettre de nouvelles infractions. Si, au regard de l'expertise, il n'est pas exclu qu'un traitement institutionnel soit indiqué en l'espèce, il appartiendra au juge du fond d'examiner cette question. En l'état, les mesures proposées apparaissent donc insuffisantes pour prévenir le risque de réitération.</w:t>
      </w:r>
    </w:p>
    <w:p>
      <w:r>
        <w:rPr>
          <w:b/>
        </w:rPr>
        <w:t>E. 3</w:t>
      </w:r>
    </w:p>
    <w:p>
      <w:r>
        <w:t>Au vu de ce qui précède, le recours, fondé, doit être admis et l’ordonnance attaquée réformée en ce sens que la détention provisoire de B.________ est ordonnée pour une durée de trois mois, soit jusqu'au 30 juillet 2012. L’attention du prévenu est attirée sur le fait qu’il peut en tout temps présenter une demande de mise en liberté (cf. art. 226 al. 3 CPP). Les frais de la procédure de recours, constitués en l’espèce de l'émolument du présent arrêt, par 990 fr. (art. 20 al. 1 TFJP [Tarif des frais judiciaires pénaux, RSV 312.03.1]), des frais de l’ordonnance provisionnelle du 2 mai 2012, par 110 fr., ainsi que des frais imputables à la défense d’office (art. 422 al. 1 et 2 let. a CPP), fixés, au vu du mémoire produit rédigé par un avocat-stagiaire et de la complexité de la cause, à 310 fr., plus la TVA par 24 fr. 80, soit au total à 334 fr. 80, seront laissés à la charge de l'Etat. Par ces motifs, la Chambre des recours pénale, statuant à huis clos prononce : I. Le recours est admis. II. L'ordonnance attaquée est réformée en ce sens que la détention provisoire de B.________ est ordonnée pour une durée de trois mois, soit jusqu'au 30 juillet 2012 (I) et que l'attention du prévenu est attirée sur le fait qu'il peut en tout temps présenter une demande de mise en liberté (II). III. L'indemnité allouée au défenseur d'office du prévenu est fixée à 334 fr. 80 (trois cent trente-quatre francs et huitante centimes). IV. Les frais d'arrêt, par 1'100 fr. (mille cent francs), ainsi que l'indemnité due au défenseur d'office du recourant, par 334 fr. 80 (trois cent trente-quatre francs et huitante centimes), sont laissés à la charge de l'Etat. V. Le présent arrêt est exécutoire. Le président :               La greffière : Du L'arrêt qui précède, dont la rédaction a été approuvée à huis clos, est notifié, par l'envoi d'une copie complète, à : - Mme Lise-Marie Gonzalez Pennec, avocate (pour B.________) (et par fax), - Ministère public central (et par fax); et communiqué à : ‑ Mme la Présidente du Tribunal des mesures de contrainte (et par fax), - Mme la Procureure de l'arrondissement de Lausanne (et par fax); - Prison du Bois-Mermet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