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324 vom 23. Februar 2012</w:t>
      </w:r>
    </w:p>
    <w:p>
      <w:r>
        <w:t>VD Tribunal cantonal, 2012-02-23, FR</w:t>
      </w:r>
    </w:p>
    <w:p>
      <w:r>
        <w:rPr>
          <w:b/>
        </w:rPr>
        <w:t xml:space="preserve">Quelle: </w:t>
      </w:r>
      <w:r>
        <w:t>https://mcp.opencaselaw.ch/entscheid/vd_findinfo_D_cision___2012___324</w:t>
      </w:r>
    </w:p>
    <w:p>
      <w:r>
        <w:t>FR: VD_FINDINFO Décision / 2012 / 324 du 23 février 2012</w:t>
      </w:r>
    </w:p>
    <w:p>
      <w:r>
        <w:t>IT: VD_FINDINFO Décision / 2012 / 324 del 23 febbraio 2012</w:t>
      </w:r>
    </w:p>
    <w:p>
      <w:pPr>
        <w:pStyle w:val="Heading2"/>
      </w:pPr>
      <w:r>
        <w:t>Regeste</w:t>
      </w:r>
    </w:p>
    <w:p>
      <w:r>
        <w:t>INDEMNITÉ ÉQUITABLE, AVOCAT D'OFFICE | 135 al. 3 let. a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d'V.________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 Kuhn/Jeanneret [éd.], op. cit., n. 2 ad art. 395 CPP, p. 1763; Schmid, Handbuch des schweizerischen Strafprozessrechts, 2009, n. 1521, p. 697; Stephenson/Thiriet, in : Niggli/Heer/ 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En l'occurrence, le montant réclamé par le recourant s'élève à 6'407 fr. 20, débours et TVA inclus, et celui qui a été alloué par le jugement à 5'216 fr. 30, débours et TVA inclus également. Le montant litigieux est ainsi inférieur à 5'000 fr., de sorte que le recours relève de la compétence d'un juge unique de la Chambre des recours pénale.</w:t>
      </w:r>
    </w:p>
    <w:p>
      <w:r>
        <w:rPr>
          <w:b/>
        </w:rPr>
        <w:t>E. 2</w:t>
      </w:r>
    </w:p>
    <w:p>
      <w:r>
        <w:t>a) Selon l’art. 135 al. 1 CPP, applicable par analogie à l’indemnisation du conseil juridique gratuit (art. 138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A l’appui de ses conclusions, le recourant fait valoir qu'il a produit deux listes d'opérations, le 13 février 2012 (versées au dossier Frais), indiquant une durée totale d'activité de 32 heures et 10 minutes. La première liste portait sur la période du 28 septembre au 16 décembre 2010, à hauteur de deux heures 10 d'activité, et la seconde sur les années 2011 et 2012, à hauteur de 30 heures d'activité. Il résulte du dossier que le Tribunal de police a admis 26 heures de travail au total, d’où la fixation de l’indemnité d’office à 5'216 fr. 30 (26 heures à 180 fr. l'heure avec TVA à 8 %, plus débours de 30 fr. avec TVA à 7,6 % et de 120 fr. avec TVA à 8%). Les motifs pour lesquels l'autorité a réduit le nombre d'heures estimées par l'avocat ne sont, comme déjà relevé, pas exposés. c) Sur le vu des explications fournies par le recourant, il faut admettre que la totalité de la durée d'activité annoncée était nécessaire à l'accomplissement du mandat d'office. En statuant en sens contraire, les premiers juges ont donc mésusé de leur pouvoir d'appréciation. En effet, la présente cause, relative à des infractions contre le patrimoine, présentait une indéniable complexité et les chefs d'accusation dont avait à répondre la prévenue devant le tribunal correctionnel étaient d'une certaine gravité. Le recourant a dû examiner de nombreuses pièces et assister sa cliente lors de deux audiences, dont l'une a duré plus de huit heures. Rien ne permet de mettre en doute la réalité des opérations invoquées à ce titre. Le recourant a en outre tenu des conférences avec sa cliente; à cet égard, le temps indiqué au regard de ces opérations n'est en tout cas pas surévalué. Toutes ces opérations paraissent ainsi justifiées, tant pour ce qui est de leur nécessité en rapport avec la défense pénale, que quant au temps décompté. La durée globale de 11,05 heures invoquée pour l'étude du dossier et la préparation des audiences n'est dès lors pas critiquable. Enfin, le résultat obtenu par le recourant est positif, puisque la prévenue a été libérée par le tribunal correctionnel de tous les chefs d'accusation dont elle avait à répondre (cf. notamment CREP, 7 mars 2012/112). Quant au montant demandé au titre des débours, il doit également être admis.</w:t>
      </w:r>
    </w:p>
    <w:p>
      <w:r>
        <w:rPr>
          <w:b/>
        </w:rPr>
        <w:t>E. 3</w:t>
      </w:r>
    </w:p>
    <w:p>
      <w:r>
        <w:t>ll résulte de ce qui précède que le recours doit être entièrement admis et le jugement réformé en ce sens que l’indemnité d’office du recourant est arrêtée à 6'407 fr. 20, débours et TVA compris et que les frais de la cause sont portés à 18'255 fr. 60 (17'064 fr. 70 – 5'216 fr. 30 + 6'407 fr. 20). En outre, la part des frais mis à la charge de la prévenue doit d'office être portée à 9'610 fr. en chiffre rond (3'202 fr. 40 alloués au précédent conseil en sus de 6'407 fr. 20) pour englober l'ensemble des indemnités aux conseils d'office. Les frais de la procédure de recours, constitués de l'émolument d'arrêt (art. 422 al. 1 CPP), par 630 fr. (art. 20 al. 1 TFJP [tarif des frais judiciaires pénaux du 28 septembre 2010; RSV 312.03.1]), sont laissés à la charge de l'Etat (art. 428 al. 1 CPP). Il n'y a pas lieu d'allouer des dépens. Par ces motifs, la Juge de la Chambre des recours pénale, statuant à huis clos, prononce : I. Le recours est admis. II. Le jugement est réformé comme il suit par l'adjonction d'un chiffre IIIbis à son dispositif et par la modification du chiffre IV de son dispositif : IIIbis. Fixe l'indemnité de conseil d'office de la prévenue V.________ allouée à Me G.________ à CHF 6'407,20 (six mille quatre cent sept francs et vingt centimes), TVA et débours compris. IV. Fixe les frais de la cause à CHF 18'255,60 (dix-huit mille deux cent cinquante-cinq francs et soixante centimes), y compris l'indemnité prévue au ch. IIIbis ci-dessus, et en met une partie, par CHF 9'610.- (neuf mille six cent dix francs), à la charge d'V.________, le solde étant laissé à la charge de l'Etat. Il est maintenu pour le surplus. III. Les frais d'arrêt, par 630 fr. (six cent trente francs) sont laissés à la charge de l'Etat. I V. Le présent arrêt est exécutoire. La Juge :               Le greffier : Du L'arrêt qui précède, dont la rédaction a été approuvée à huis clos, est notifié, par l'envoi d'une copie complète, à : - M. G.________, avocat, - Mme V.________, - Ministère public central, et communiqué à : ‑ Direction de la procédure: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