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319 vom 18. Januar 2011</w:t>
      </w:r>
    </w:p>
    <w:p>
      <w:r>
        <w:t>VD Tribunal cantonal, 2011-01-18, FR</w:t>
      </w:r>
    </w:p>
    <w:p>
      <w:r>
        <w:rPr>
          <w:b/>
        </w:rPr>
        <w:t xml:space="preserve">Quelle: </w:t>
      </w:r>
      <w:r>
        <w:t>https://mcp.opencaselaw.ch/entscheid/vd_findinfo_D_cision___2012___319</w:t>
      </w:r>
    </w:p>
    <w:p>
      <w:r>
        <w:t>FR: VD_FINDINFO Décision / 2012 / 319 du 18 janvier 2011</w:t>
      </w:r>
    </w:p>
    <w:p>
      <w:r>
        <w:t>IT: VD_FINDINFO Décision / 2012 / 319 del 18 gennaio 2011</w:t>
      </w:r>
    </w:p>
    <w:p>
      <w:pPr>
        <w:pStyle w:val="Heading2"/>
      </w:pPr>
      <w:r>
        <w:t>Regeste</w:t>
      </w:r>
    </w:p>
    <w:p>
      <w:r>
        <w:t>DÉTENTION PRÉVENTIVE, RISQUE DE FUITE, RISQUE DE COLLUSION | 221 al. 1 let. a CPP (CH), 221 al. 1 let. b CPP (CH), 222 CPP (CH)</w:t>
      </w:r>
    </w:p>
    <w:p>
      <w:pPr>
        <w:pStyle w:val="Heading2"/>
      </w:pPr>
      <w:r>
        <w:t>Erwägungen</w:t>
      </w:r>
    </w:p>
    <w:p>
      <w:r>
        <w:rPr>
          <w:b/>
        </w:rPr>
        <w:t>E. 18</w:t>
      </w:r>
    </w:p>
    <w:p>
      <w:r>
        <w:t>juillet 2012, vu le recours interjeté le 23 avril 2012 par le prénommé contre cette décision, vu les pièces du dossier; attendu qu'aux termes de l'art. 222 CPP (Code de procédure pénale suisse du 5 octobre 2007; RS 312.0), le détenu peut attaquer devant l'autorité de recours les décisions ordonnant une mise en détention provisoire ou une mise en détention pour des motifs de sûreté ou encore la prolongation ou le terme de cette détention, que la Chambre des recours pénale du Tribunal cantonal est compétente pour statuer sur un recours de cette nature (art. 13 LVCPP [loi vaudoise d'introduction du Code de procédure pénale suisse; RSV 312.01]), qu'interjeté dans le délai légal (art. 396 al. 1 CPP)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qu'en l'espèce, A.________ a été arrêté le 16 janvier 2011 aux motifs qu'il était prévenu d'escroquerie, de blanchiment et d'infraction à la LEtr, en relation avec des escroqueries de type "nigerian connection", qu'à l'origine, la détention était fondée sur des malversations portant sur plus de 350'000 francs, que l'instruction en cours a permis de découvrir d'autres cas d'escroquerie portant sur des montants importants, qu'au stade actuel de l'enquête, le recourant est prévenu d'escroquerie par métier, de faux dans les titres, de blanchiment d'argent qualifié et d'infraction à la LEtr, qu'en conséquence, il existe de sérieux soupçons de culpabilité à l'encontre du recourant, ce que ce dernier ne conteste pas; attendu que la décision attaquée se fonde sur un risque de fuite (art. 221 al. 1 let. a CPP), que le recourant soutient que ce risque n'existe pas au motif qu'il n'aurait aucun intérêt à fuir,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si la gravité de l'infraction ne peut pas, à elle seule, justifier la détention, elle permet souvent de présumer un danger de fuite en raison de l'importance de la peine dont le prévenu est menacé (TF 1B_478/2011 du 5 octobre 2011 c. 4.1), qu'en l'espèce, A.________ est un requérant d'asile débouté, sans attache particulière avec la Suisse, qu'au surplus, en raison de la gravité des faits qui lui sont imputés, il est sérieusement à craindre qu'il ne soit tenté de prendre la fuite pour échapper aux poursuites pénales dont il fait l'objet, que dès lors, l'appréciation du Tribunal des mesures de contrainte, selon laquelle le risque de fuite à l'encontre du recourant est concret, ne prête pas le flanc à la critique et doit être confirmée, qu'enfin, aucune mesure de substitution n'est susceptible d'éviter ce risque et de garantir sa présence aux actes d'instruction (art. 212 al. 2 let. c CPP); attendu que la détention provisoire est justifiée par un risque concret de fuite, il n'est pas nécessaire de trancher en l'espèce la question du risque de collusion et de réitération (art. 221 al. 1 let. b et c CPP), qu'en effet, les conditions fixées à l'art. 221 al. 1 let. a à c CPP sont des conditions alternatives et, partant, la réalisation d'une seule cause suffit (Schmocker, op. cit., n. 11 ad art. 221 CPP; Piquerez, Traité de procédure pénale suisse, 2 ème éd., Zurich 2006, n. 841); qu'il convient toutefois de relever que l'enquête est encore loin d'être terminée, que des opérations sont actuellement menées au Nigeria pour établir la destination des fonds, qu'en conséquence, le risque de collusion est avéré, qu'au surplus, aucune mesure de substitution ne permet d'éviter de prévenir le risque d'altération des moyens de preuve (art. 212 al. 2 let. c CPP); attendu que A.________ invoque une violation du principe de la proportionnalité,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en principe pas déterminant sous l'angle de la proportionnalité (ATF 133 I 270 c. 3.4.2; ATF 125 I 60 c. 3d, JT 2006 IV 114; TF 1B_482/2011 du 4 octobre 2011 c. 2.1), qu'il n'en va différemment que lorsqu'une appréciation concrète des circonstances permet d'aboutir d'emblée à la conclusion que, selon toute vraisemblance, les conditions du sursis sont réalisées (Logos, in : Kuhn/Jeanneret (éd.), Commentaire romand, Code de procédure pénale suisse, 2011, n. 24 ad art. 227 CPP et les références citées; TF 1B_641/2011 du 25 novembre 2011 c. 3.1; TF 1B_82/2008 du 7 avril 2008 c. 4.1 et les arrêts cités), qu'en l'espèce, compte tenu de la gravité des infractions reprochées au recourant, des circonstances aggravantes du métier au sens de l'art. 146 ch. 2 CP, des montants en cause et du concours d'infractions, le principe de la proportionnalité est respecté, qu'au surplus, il n'est pas possible de conclure qu'il est vraisemblable que le recourant sera condamné à une peine privative de liberté compatible avec le sursis et, même dans cette hypothèse, qu'un tel sursis lui sera octroyé; attendu, en définitive, que le recours doit être rejeté et l'ordonnance confirmée, que les frais de la procédure de recours, par 660 fr. (art. 20 al. 1 TFJP [Tarif des frais judiciaires pénaux du 28 septembre 2010, RSV 312.03.1]), ainsi que les frais imputables à la défense d’office (art. 422 al. 1 et al. 2 let. a CPP), fixés à 540 fr., plus la TVA, par 43 fr. 20, soit 583 fr. 20, sont mis à la charge du recourant, qui succombe (art. 428 al. 1 CPP), que le remboursement à l'Etat de l'indemnité allouée au défenseur d'office de A.________ ne sera toutefois exigible que pour autant que la situation économique de ce dernier se soit améliorée (art. 135 al. 4 CPP). Par ces motifs, la Chambre des recours pénale, statuant à huis clos : I. Rejette le recours. II. Confirme l'ordonnance attaquée. III. Fixe à 583 fr. 20 (cinq cent huitante-trois francs et vingt centimes) l'indemnité allouée au défenseur d'office de A.________. IV. Dit que les frais du présent arrêt, par 660 fr. (six cent soixante francs), ainsi que l'indemnité due au défenseur d'office de A.________, par 583 fr. 20 (cinq cent huitante-trois francs et vingt centimes), sont mis à la charge de ce dernier. V. Dit que le remboursement à l'Etat de l'indemnité allouée au chiffre III ci-dessus sera exigible pour autant que la situation économique de A.________ se soit améliorée. VI. Déclare le présent arrêt exécutoire. Le président :               La greffière : Du La décision qui précède, dont la rédaction a été approuvée à huis clos, est notifiée, par l'envoi d'une copie complète, à : - Me Philippe Dal Col, avocat (pour A.________), - Ministère public central, et communiquée à : - Mme. la Présidente du Tribunal des mesures de contrainte,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