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311 vom 21. März 2012</w:t>
      </w:r>
    </w:p>
    <w:p>
      <w:r>
        <w:t>VD Tribunal cantonal, 2012-03-21, FR</w:t>
      </w:r>
    </w:p>
    <w:p>
      <w:r>
        <w:rPr>
          <w:b/>
        </w:rPr>
        <w:t xml:space="preserve">Quelle: </w:t>
      </w:r>
      <w:r>
        <w:t>https://mcp.opencaselaw.ch/entscheid/vd_findinfo_D_cision___2012___311</w:t>
      </w:r>
    </w:p>
    <w:p>
      <w:r>
        <w:t>FR: VD_FINDINFO Décision / 2012 / 311 du 21 mars 2012</w:t>
      </w:r>
    </w:p>
    <w:p>
      <w:r>
        <w:t>IT: VD_FINDINFO Décision / 2012 / 311 del 21 marzo 2012</w:t>
      </w:r>
    </w:p>
    <w:p>
      <w:pPr>
        <w:pStyle w:val="Heading2"/>
      </w:pPr>
      <w:r>
        <w:t>Regeste</w:t>
      </w:r>
    </w:p>
    <w:p>
      <w:r>
        <w:t>COMMANDEMENT DE PAYER, CONTRAINTE{DROIT PÉNAL}, DÉCISION D'IRRECEVABILITÉ | 181 CP, 310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w:t>
      </w:r>
    </w:p>
    <w:p>
      <w:r>
        <w:rPr>
          <w:b/>
        </w:rPr>
        <w:t>E. 2</w:t>
      </w:r>
    </w:p>
    <w:p>
      <w:r>
        <w:t>a) Aux termes de l'art. 181 CP (Code pénal suisse du 21 décembre 1937, RS 311.0), se rend coupable de contrainte celui qui, en usant de violence envers une personne ou en la menaçant d’un dommage sérieux, ou en l’entravant de quelque autre manière dans sa liberté d’action, l’aura obligée à faire, à ne pas faire ou à laisser faire un acte. Pour qu'il y ait contrainte au sens de cette disposition, il faut que le recours à la contrainte soit illicite dans les circonstances d'espèce (Corboz, Les infractions en droit suisse, vol. I, Berne 2010, p. 707; ATF 129 IV 262 c. 2.1). Selon la jurisprudence, la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(Corboz, op. cit., p. 707; ATF 129 IV 6 c. 3.4). Concernant le cas particulier de la contrainte par l'envoi d'un commandement de payer, le Tribunal fédéral a retenu ce qui suit (TF 6S_853/2000 du 9 mai 2011, c. 4c):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 Selon la jurisprudence, il est donc concevable qu'une tentative de contrainte soit réalisée lorsqu'un commandement de payer d'un montant important est notifié, que le poursuivi allègue que la créance est manifestement inexistante et que le procédé a pour but de pousser le poursuivi à adopter un certain comportement (TACC, 15 mars 2010/134; TACC, 23 mai 2008/324). Enfin, il n’y a contrainte que si l’auteur a agi intentionnellement, le dol éventuel étant suffisant (Corboz, op. cit., pp. 709-710), b) En l'espèce, ni le moyen, ni le but ne sont contraires au droit. En effet, le commandement de payer est un acte licite. Concernant le but, soit la sauvegarde de la prescription, il y a lieu de retenir qu'au regard de l'ensemble des éléments du dossier et, en particulier, des pièces produites par le plaignant, aucun élément ne permet en l'état de considérer avec certitude que la prescription est atteinte. A ce stade, cette question relève donc de la juridiction civile et la volonté de l'avocat d'interrompre la prescription n'apparaît pas d'emblée comme infondée. Le but doit donc être considéré comme légitime. Toutefois, le commandement de payer litigieux pourrait être considéré comme disproportionné quant à son montant. Tel n'est pas le cas. En effet, il ressort du dispositif du jugement de la Cour civile du Tribunal cantonal vaudois du 19 mai 2011 que la société W.________ SA pourrait être amenée, solidairement avec d'autres, à payer des montants bien supérieurs à 1'100'000 francs. Aussi, la créance n’est-elle pas inexistante et le moyen n'apparaît-il pas manifestement disproportionné. Il reste encore à examiner si le commandement de payer doit être considéré comme un moyen de pression abusif au sens de la jurisprudence. En l'occurrence, la débitrice semble effectivement être la société et non le recourant personnellement. Toutefois, le recourant admet lui-même que sa responsabilité pourrait être engagée en qualité d'administrateur de W.________ SA, même s'il soutient que les conditions n'en sont pas remplies. A ce stade, cette question relève de la justice civile et on ne saurait reprocher à un avocat de vouloir interrompre la prescription à toutes fins utiles. Ainsi, au regard des pièces du dossier, en particulier de celles produites par le recourant à l’appui de sa plainte, le Ministère public était fondé à retenir que les faits décrits par le plaignant n'étaient manifestement constitutifs d’aucune infraction pénale. L'ordonnance de non-entrée en matière du 8 février 2012 échappe donc à la critique.</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770 fr. (art. 20 al. 1 TFJP [tarif des frais judiciaires pénaux; RSV 312.03.1]), seront mis à la charge du recourant, qui succombe (art. 428 al. 1 CPP). Par ces motifs, la Chambre des recours pénale, statuant à huis clos prononce : I. Le recours est rejeté. II. L'ordonnance est confirmée. III. Les frais de la procédure de recours, par 770 fr. (sept cent septante francs), sont mis à la charge du recourant. IV. Le présent arrêt est exécutoire. Le président :               La greffière : Du L'arrêt qui précède, dont la rédaction a été approuvée à huis clos, est notifié, par l'envoi d'une copie complète, à : - M. S.________,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