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305 vom 17. Februar 2012</w:t>
      </w:r>
    </w:p>
    <w:p>
      <w:r>
        <w:t>VD Tribunal cantonal, 2012-02-17, FR</w:t>
      </w:r>
    </w:p>
    <w:p>
      <w:r>
        <w:rPr>
          <w:b/>
        </w:rPr>
        <w:t xml:space="preserve">Quelle: </w:t>
      </w:r>
      <w:r>
        <w:t>https://mcp.opencaselaw.ch/entscheid/vd_findinfo_D_cision___2012___305</w:t>
      </w:r>
    </w:p>
    <w:p>
      <w:r>
        <w:t>FR: VD_FINDINFO Décision / 2012 / 305 du 17 février 2012</w:t>
      </w:r>
    </w:p>
    <w:p>
      <w:r>
        <w:t>IT: VD_FINDINFO Décision / 2012 / 305 del 17 febbraio 2012</w:t>
      </w:r>
    </w:p>
    <w:p>
      <w:pPr>
        <w:pStyle w:val="Heading2"/>
      </w:pPr>
      <w:r>
        <w:t>Regeste</w:t>
      </w:r>
    </w:p>
    <w:p>
      <w:r>
        <w:t>CLASSEMENT DE LA PROCÉDURE, VICE DE PROCÉDURE | 318 CPP (CH)</w:t>
      </w:r>
    </w:p>
    <w:p>
      <w:pPr>
        <w:pStyle w:val="Heading2"/>
      </w:pPr>
      <w:r>
        <w:t>Erwägungen</w:t>
      </w:r>
    </w:p>
    <w:p>
      <w:r>
        <w:rPr>
          <w:b/>
        </w:rPr>
        <w:t>E. 1</w:t>
      </w:r>
    </w:p>
    <w:p>
      <w:r>
        <w:t>Les parties peuvent attaquer une ordonnance de classement rendue par le ministère public (cf. art. 319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En l'espèce, le Ministère public n'a pas respecté cette disposition, puisque les parties n'ont pas été informées de la prochaine clôture de l'instruction, ni du fait que le procureur entendait rendre une ordonnance de classement. Aucun délai ne leur a été imparti pour présenter leurs réquisitions de preuves. Le droit d'être entendu des parties ayant été violé, l’ordonnance du 6 mars 2012 doit être annulée et la cause renvoyée au Ministère public de l’arrondissement du Nord vaudois pour nouvelle décision (CREP, 17 mai 2011/164; Cornu, in Kuhn/Jeanneret (éd.), Commentaire romand, Code de procédure pénale suisse, Bâle 2011, n. 23 ad art. 318 CPP, p. 1449). Il appartiendra au procureur de reprendre l'instruction et, à tout le moins, d’informer et d’interpeller les parties conformément à l’art. 318 CPP, notamment en leur impartissant un délai pour présenter leurs réquisitions de preuves. On précisera enfin qu'aux termes de l'art. 318 al. 2 CPP, le Ministère public ne peut écarter une réquisition de preuves que si celle-ci exige l’administration de preuves sur des faits non pertinents, notoires, connus de l’autorité pénale ou déjà suffisamment prouvés en droit. Le cas échéant, il doit rendre une décision écrite et brièvement motivée.</w:t>
      </w:r>
    </w:p>
    <w:p>
      <w:r>
        <w:rPr>
          <w:b/>
        </w:rPr>
        <w:t>E. 3</w:t>
      </w:r>
    </w:p>
    <w:p>
      <w:r>
        <w:t>a) Il résulte de ce qui précède que le recours doit être admis, l’ordonnance attaquée annulée et la cause renvoyée au Ministère public de l’arrondissement du Nord vaudois pour qu’il procède dans le sens des considérants du présent arrêt et rende une nouvelle décision. b) Les frais de la procédure de recours, constitués en l’espèce du seul émolument d’arrêt (art. 422 al. 1 CPP), par 550 fr. (art. 20 al. 1 TFJP [tarif des frais judiciaires pénaux]; RSV 312.03.1), doivent être laissés à la charge de l'Etat (art. 428 al.</w:t>
      </w:r>
    </w:p>
    <w:p>
      <w:r>
        <w:rPr>
          <w:b/>
        </w:rPr>
        <w:t>E. 4</w:t>
      </w:r>
    </w:p>
    <w:p>
      <w:r>
        <w:t>CPP). Enfin,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prononce : I. Le recours est admis. II. L'ordonnance est annulée et la cause est renvoyée au Ministère public de l’arrondissement du Nord vaudois pour qu'il procède dans le sens des considérants, puis rende une nouvelle décision. III. Les frais d'arrêt, par 440 fr. (quatre cent quarante francs), sont laissés à la charge de l'Etat. IV. L'arrêt est exécutoire. Le président :               La greffière : Du L'arrêt qui précède, dont la rédaction a été approuvée à huis clos, est notifié, par l'envoi d'une copie complète, à : - M. Alain Vuithier, avocat (pour S.________) - Mme Manuela Ryter Godel, avocate (pour 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