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 vom 14. Oktober 2011</w:t>
      </w:r>
    </w:p>
    <w:p>
      <w:r>
        <w:t>VD Tribunal cantonal, 2011-10-14, FR</w:t>
      </w:r>
    </w:p>
    <w:p>
      <w:r>
        <w:rPr>
          <w:b/>
        </w:rPr>
        <w:t xml:space="preserve">Quelle: </w:t>
      </w:r>
      <w:r>
        <w:t>https://mcp.opencaselaw.ch/entscheid/vd_findinfo_D_cision___2012___3</w:t>
      </w:r>
    </w:p>
    <w:p>
      <w:r>
        <w:t>FR: VD_FINDINFO Décision / 2012 / 3 du 14 octobre 2011</w:t>
      </w:r>
    </w:p>
    <w:p>
      <w:r>
        <w:t>IT: VD_FINDINFO Décision / 2012 / 3 del 14 ottobre 2011</w:t>
      </w:r>
    </w:p>
    <w:p>
      <w:pPr>
        <w:pStyle w:val="Heading2"/>
      </w:pPr>
      <w:r>
        <w:t>Regeste</w:t>
      </w:r>
    </w:p>
    <w:p>
      <w:r>
        <w:t>CLASSEMENT DE LA PROCÉDURE | 310 CPP (CH), 393 al. 1 let. a CPP (CH)</w:t>
      </w:r>
    </w:p>
    <w:p>
      <w:pPr>
        <w:pStyle w:val="Heading2"/>
      </w:pPr>
      <w:r>
        <w:t>Erwägungen</w:t>
      </w:r>
    </w:p>
    <w:p>
      <w:r>
        <w:rPr>
          <w:b/>
        </w:rPr>
        <w:t>E. 1</w:t>
      </w:r>
    </w:p>
    <w:p>
      <w:r>
        <w:t>Selon l’art. 310 al. 1 CPP (Code de procédure pénale suisse; RS 312.0), le ministère public rend immédiatement une ordonnance de non-entrée en matière s’il ressort de la dénonciation ou du rapport de police notamment (let. a) que les éléments constitutifs de l’infraction ou les conditions à l’ouverture de l’action pénale ne sont manifestement pas réunis. Au surplus, les dispositions sur le classement de la procédure sont applicables (art. 310 al. 2 CPP). Est ainsi notamment applicable l’art. 322 al. 2 CPP, qui prévoit que les parties peuvent attaquer l’ordonnance de classement dans les dix jours devant l’autorité de recours (cf. art. 20 al. 1 let. b CPP), à savoir, dans le canton de Vaud, devant la Chambre des recours pénale du Tribunal cantonal (art. 13 LVCPP [d’introduction du code de procédure pénale suisse; RSV 312.01]; art. 80 LOJV, [loi d’organisation judiciaire; RSV 173.01]). Interjeté dans le délai légal (art. 322 al. 2 et 396 al. 1 CPP) par la partie plaignante qui a qualité pour recourir (art. 322 al. 2 et 382 al. 1 CPP), le recours est donc recevable.</w:t>
      </w:r>
    </w:p>
    <w:p>
      <w:r>
        <w:rPr>
          <w:b/>
        </w:rPr>
        <w:t>E. 2</w:t>
      </w:r>
    </w:p>
    <w:p>
      <w:r>
        <w:t>a) Selon l’art. 310 al.1 CPP, le ministère public rend immédiatement, c’est-à-dire sans ouvrir d’instruction (art. 309 al. 1 et 4 CPP; cf. Pierre Cornu, in: Kuhn/Jeanneret (éd.), Commentaire romand, Code de procédure pénale suisse, Bâle 2011, n. 2 ad art. 310 CPP) et donc sans administrer de preuves (art. 311 CPP; cf. Cornu, op. cit., n. 4 ad art. 310 CPP), une ordonnance de non-entrée en matière s’il ressort de la dénonciation (cf. art. 301 s. CPP) — respectivement, bien que l’art. 310 al. 1 CPP ne le mentionne pas expressément, de la plainte pénale (Cornu, op. cit., n. 1 ad art. 310 CPP) — ou du rapport de police (cf. art. 307 al. 3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b) Aux termes de l’art. 173 ch. 1 CP, qui réprime la diffamation, est, sur plainte, puni d’une peine pécuniaire de 180 jours-amende au plus celui qui, en s’adressant à un tiers, aura accusé une personne ou jeté sur elle le soupçon de tenir une conduite contraire à l’honneur ou de tout autre fait propre à porte atteinte à sa considération, ou aura propagé une telle accusation ou un tel soupçon. Selon la jurisprudence du Tribunal fédéral (cf., parmi les arrêts récents, TF 6B_371/2011 du 15 août 2011 c. 5.1), l’honneur protégé par le droit pénal est le droit de chacun de ne pas être considéré comme une personne méprisable (ATF 132 IV 112 c. 2.1; ATF 128 IV 53 c. 1a; ATF 117 IV 27 c. 2c). Les art. 173 ss CP ne protègent que l’honneur personnel, la réputation et le sentiment d’être un homme honorable, de se comporter, en d’autres termes, comme un homme digne a coutume de le faire selon les idées généralement reçues; échappent à ces dispositions les déclarations qui sont propres seulement à ternir de quelque autre manière la réputation dont jouit quelqu’un dans son entourage ou à ébranler sa confiance en lui-même: ainsi en va-t-il des critiques qui visent comme tel l’homme de métier, l’artiste ou le politicien (ATF 128 IV 53 c. 1a; ATF 119 IV 44 c. 2a). Lorsqu’on évoque la commission d’un crime ou d’un délit intentionnel, la jurisprudence admet qu’il y a atteinte à l’honneur (ATF 118 IV 248 c. 2B; ATF 132 IV 112). Il n’est toutefois pas nécessaire que le comportement soit réprimé par la loi pénale; il suffit qu’il soit moralement réprouvé (ATF 117 IV 27 c. 2d). Pour déterminer si une déclaration est attentatoire à l’honneur, il ne faut pas se fonder sur le sens que lui donne la personne visée, mais sur une interprétation objective selon le sens qu’un destinataire non prévenu doit, dans les circonstances données, lui attribuer (ATF 128 IV 53 c. 1a et les arrêts cités). Enfin, pour que l’auteur se rende coupable de diffamation, l’atteinte à l’honneur doit être communiquée à un tiers et porter sur un fait (et ne pas constituer un simple jugement de valeur). c) En l’espèce, il ressort de la retranscription papier d’un échange de conversation Facebook entre W.________ et F.________ (P. 5) que W.________ aurait notamment dit de D.P.________ qu'il serait un pauvre personnage, en procès avec tout le monde, qui aurait dit à un gitan "je suis allemand et on a buté des millions de personnes comme toi, mais on t’a oublié !!! Alors dégage", qu’il serait fou, qu'il serait un malade mental, qu’il faudrait le fuir comme la peste, qu’il serait le Diable en personne et qu'il dirigerait ses fils (qui seraient faits dans le même moule) et sa femme comme un vrai dictateur, soit la réincarnation du Führer. Quand bien même les propos concernant D.P.________, échangés entre W.________ et F.________, n’étaient pas accessibles par leurs "amis" sur Facebook, ces écrits ayant été envoyés entre elles comme des messages strictement privés et non publiés sur le "mur" appartenant à chaque utilisateur, ils n’en ont pas moins été adressés à une tierce personne, soit à F.________, au sens de l’art. 173 ch. 1 CP. En effet, le "tiers" est une personne autre que l'auteur et le lésé. C'est donc à tort que le procureur a considéré que les éléments constitutifs de l’infraction de diffamation n’étaient manifestement pas réunis (cf., s’agissant d’atteinte à l’honneur par courrier électronique, TF 66_371/2011 du 15 août 2011; TF 6P.54/2004 du 21 mai 2004; TF 6S.147/2002 du 21 août 2002). En effet, les propos en question sont de prime abord de nature à faire apparaître D.P.________, qui est comparé au Führer et au Diable en personne, comme un être méprisable, et à porter atteinte à sa réputation et au sentiment d’être un homme honorable se comportant comme un homme digne a coutume de le faire selon les idées généralement reçues.</w:t>
      </w:r>
    </w:p>
    <w:p>
      <w:r>
        <w:rPr>
          <w:b/>
        </w:rPr>
        <w:t>E. 3</w:t>
      </w:r>
    </w:p>
    <w:p>
      <w:r>
        <w:t>Il résulte de ce qui précède que le recours doit être admis, l’ordonnance attaquée annulée et le dossier renvoyé au Procureur de l’arrondissement de l’Est vaudois pour qu’il ouvre une instruction (art. 309 CPP), étant précisé qu’il n’appartient pas à la cour de céans mais au Procureur de décider contre qui cette instruction doit être ouverte et s’il y a lieu de la joindre à une autre procédure pénale. Les frais de la procédure de recours, constitués en l’espèce du seul émolument d’arrêt (art. 422 al. 1 CPP), par 550 fr. (art. 20 al. 1 TFJP [des frais judiciaires pénaux; RSV 312.03.1]), seront laissés à la charge de l’Etat (cf. art. 428 al. 4 CPP). S'agissant des dépens réclamés par le recourant, ils suivent le sort de la cause au fond (cf. art. 433 CPP; Mizel/Rétornaz, in: Kuhn/Jeanneret (éd.), op. cit., n. 13 ad art. 433 CPP). Par ces motifs, la Chambre des recours pénale, statuant à huis clos, prononce : I. Le recours est admis. II. L'ordonnance attaquée est annulée. III. Le dossier est renvoyé au Procureur de l'arrondissement de l'Est vaudois pour qu'il ouvre une instruction. IV. Les frais de la procédure de recours, par 550 fr. (cinq cent cinquante francs), sont laissés à la charge de l'Etat. V. L'arrêt est exécutoire. Le président :               La greffière : Du L'arrêt qui précède, dont la rédaction a été approuvée à huis clos, est notifié, par l'envoi d'une copie complète, à : - Mme Annik Nicod, avocate (pour D.P.________), - Ministère public central; et communiqué à : ‑ M. le Procureur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