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275 vom 11. April 2012</w:t>
      </w:r>
    </w:p>
    <w:p>
      <w:r>
        <w:t>VD Tribunal cantonal, 2012-04-11, FR</w:t>
      </w:r>
    </w:p>
    <w:p>
      <w:r>
        <w:rPr>
          <w:b/>
        </w:rPr>
        <w:t xml:space="preserve">Quelle: </w:t>
      </w:r>
      <w:r>
        <w:t>https://mcp.opencaselaw.ch/entscheid/vd_findinfo_D_cision___2012___275</w:t>
      </w:r>
    </w:p>
    <w:p>
      <w:r>
        <w:t>FR: VD_FINDINFO Décision / 2012 / 275 du 11 avril 2012</w:t>
      </w:r>
    </w:p>
    <w:p>
      <w:r>
        <w:t>IT: VD_FINDINFO Décision / 2012 / 275 del 11 aprile 2012</w:t>
      </w:r>
    </w:p>
    <w:p>
      <w:pPr>
        <w:pStyle w:val="Heading2"/>
      </w:pPr>
      <w:r>
        <w:t>Regeste</w:t>
      </w:r>
    </w:p>
    <w:p>
      <w:r>
        <w:t>RÉCUSATION, DÉCISION D'IRRECEVABILITÉ | 56 CPP (CH)</w:t>
      </w:r>
    </w:p>
    <w:p>
      <w:pPr>
        <w:pStyle w:val="Heading2"/>
      </w:pPr>
      <w:r>
        <w:t>Erwägungen</w:t>
      </w:r>
    </w:p>
    <w:p>
      <w:r>
        <w:rPr>
          <w:b/>
        </w:rPr>
        <w:t>E. 12</w:t>
      </w:r>
    </w:p>
    <w:p>
      <w:r>
        <w:t>septembre 2011, ainsi qu'à ses déterminations dans le cadre de l'affaire précitée pour conclure au rejet de cette demande, frais à leurs auteurs. E n  d r o i t : 1. a)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 RSV 312.01]). 2. a) Selon la jurisprudence rendue par le Tribunal fédéral, notamment dans le cadre d’une procédure pénale (voir notamment TF 6B_627/2010 du 9 décembre 2010, c. 4 ; TF 1B_305/2010 du 25 octobre 2010, c. 3.1 ; TF 6B_75/2007 du 23 juillet 2007, c. 2.1 ;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 ATF 127 I 196 c. 2b; ATF 126 I 168 c. 2a; ATF 124 I 121 c. 3a; ATF 116 Ia 135 c. 2b et les arrêts cités). Ces mêmes garanties s’appliquent dès le 1 er janvier 2011, date d’entrée en vigueur du code de procédure pénale suisse, aux procureurs du Ministère public dans la phase de la procédure préliminaire (art. 299 ss CPP) (Jean-Marc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(CREP 29 septembre 2011/407 c. 2b et les références citées, JT 2011 III 202). b) 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tous les motifs de récusation non compris dans les clauses des let. a à e de l’art. 56 CPP peuvent être invoqués par le biais de l’art. 56 al. 1 let. f CPP (Verniory, op. cit., n. 37 ad art. 56 CPP; Boog, in: Niggli/Heer/Wiprächtiger (éd.), Basler Kommentar, Schweizerische Strafprozessordnung, Jugendstrafprozessordnung, Bâle 2011, n. 38 ad art. 56 CPP). Tel est notamment le cas lorsqu’une partie fonde sa demande de récusation sur de graves erreurs de procédure ou d’appréciation qui dénoteraient selon elle une prévention à son égard (Verniory, op. cit., n. 35 ad art. 56 CPP; Boog, op. cit., n. 59 ad art. 56 CPP). c) En vertu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Cette réserve temporelle concrétise le principe de bonne foi des particuliers prévu par l’art. 5 al. 3 Cst. Elle résulte depuis déjà longtemps de la jurisprudence fédérale (voir les nombreux arrêts cités par Boog, op. cit., n. 7 ad art. 58 CPP) et a pour ratio d’éviter que les parties n’utilisent la récusation comme "bouée de sauvetage", en ne formulant leur demande qu’après avoir pris connaissance d’une décision négative ou s’être rendu compte que l’instruction ne suivait pas le cours désiré (Verniory, op. cit., n. 5 ad art. 58 CPP; Boog, op. cit., n. 7 ad art. 58 CPP). Conformément à l’art. 58 al. 1 CPP, la partie doit présenter sa demande de récusation sans délai, c’est-à-dire dès qu’elle a connaissance du motif de récusation respectivement des circonstances qui fondent selon elle une apparence de prévention (Boog, op. cit., n. 5 ad art. 58 CPP). Selon la jurisprudence, même si la loi ne prévoit aucun délai particulier, il y a lieu d’admettre que la récusation doit être formée aussitôt, c’est-à-dire dans les jours qui suivent la connaissance de la cause de récusation (TF 1B_277/2008 du 13 novembre 2008 c. 2.3), ce qui semble impliquer un délai en tout cas inférieur à dix jours, voire à la semaine (Verniory, op. cit., n. 8 ad art. 58 CPP; Boog, op. cit., n. 5 ad art. 58 CPP et les arrêts cités). La conséquence d’une demande tardive est l’irrecevabilité de la demande (Verniory, op. cit., n. 8 ad art. 58 CPP). 3. a) En l'espèce, les requérants invoquent d'abord le fait que dans la cause n° PE11.011504-AUP, ensuite de leur plainte pénale du 13 juin 2011, le procureur a immédiatement rendu une ordonnance de non-entrée en matière, dans un temps extrêmement court. Ils reviennent ensuite sur la cause n° PE08.027098-AUP. A cet égard, ils font valoir que l'acte déposé le 19 novembre 2008 par X.________ et W.________ ne pouvait être considéré comme une plainte pénale. Ils reprochent dès lors au procureur d'avoir ouvert une instruction sur la base d'une lettre qui n'avait pas valeur de plainte pénale. Il en irait de même des plaintes complémentaires, pour lesquelles ils reprochent en outre au procureur d'avoir admis un for vaudois. Enfin, ils reprochent au procureur de ne pas avoir tenu compte des réquisitions qu'ils lui avaient présentées, à savoir la production du troisième rapport d’audit sur la conduite du projet, et qui étaient de nature à prouver le bien-fondé des propos contenus dans les courriels d'I.________, ayant provoqué le dépôt des plaintes pénales de X.________ et de W.________. Pour le surplus, I.________ et U.________ se réfèrent aux arguments invoqués dans la demande de récusation du 21 août 2011 (cf. supra lettre A/c). b) En l'occurrence, la demande de récusation formée par I.________ et U.________ repose sur des éléments anciens. En effet, s'agissant du grief selon lequel le procureur a refusé d'entrer en matière sur la plainte pénale du 13 juin 2011, on ne peut que constater que l'ordonnance de non-entrée en matière a été rendue le 21 septembre 2011 et annulée par la Cour de céans dans son arrêt du 27 octobre 2011, soit il y a plus de cinq mois. Quoi qu'il en soit, le fait que le procureur ait rendu une décision qui ne satisfait pas les requérants ne saurait être considéré comme un indice de prévention au sens de l'art. 56 CPP. Le fait que ladite ordonnance de non-entrée en matière ait été annulée ne justifie pas non plus le dessaisissement du procureur. Quant aux autres motifs, ils sont même antérieurs à l’ordonnance pénale du 18 juillet 2011, contre laquelle I.________ a formé opposition. On soulignera au demeurant que la majorité des griefs soulevés par les requérants avaient déjà été invoqués dans le cadre de la demande de récusation du 21 août 2011, laquelle a fait l'objet d'une décision rendue le 12 septembre 2011 par la Cour de céans. Il n'y a donc pas lieu d'y revenir. 4. Il résulte de ce qui précède que la demande de récusation présentée le 2 mars 2012 par I.________ et U.________ est manifestement tardive, de sorte qu’elle doit être déclarée irrecevable. Par conséquent, les frais de la procédure, arrêtés à 990 fr. (art. 20 du Tarif des frais judiciaires pénaux [RSV 312.03.1]), sont mis à la charge des requérants (art. 59 al. 4 CPP), par moitié chacun et solidairement entre eux (art. 418 al. 1 et 2 CPP). Par ces motifs, la Chambre des recours pénale, statuant à huis clos, prononce : I. La demande de récusation présentée le 2 mars 2012 par I.________ et U.________ est irrecevable. II. Les frais de la procédure, par 990 fr. (neuf cent nonante francs), sont mis à la charge des requérants, par moitié chacun et solidairement entre eux. III. La présente décision est exécutoire. Le président :               La greffière : Du La décision qui précède, dont la rédaction a été approuvée à huis clos, est notifiée, par l'envoi d'une copie complète, à : - M. Philippe Liechti, avocat (pour I.________ et U.________),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