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21 vom 28. September 2011</w:t>
      </w:r>
    </w:p>
    <w:p>
      <w:r>
        <w:t>VD Tribunal cantonal, 2011-09-28, FR</w:t>
      </w:r>
    </w:p>
    <w:p>
      <w:r>
        <w:rPr>
          <w:b/>
        </w:rPr>
        <w:t xml:space="preserve">Quelle: </w:t>
      </w:r>
      <w:r>
        <w:t>https://mcp.opencaselaw.ch/entscheid/vd_findinfo_D_cision___2012___21</w:t>
      </w:r>
    </w:p>
    <w:p>
      <w:r>
        <w:t>FR: VD_FINDINFO Décision / 2012 / 21 du 28 septembre 2011</w:t>
      </w:r>
    </w:p>
    <w:p>
      <w:r>
        <w:t>IT: VD_FINDINFO Décision / 2012 / 21 del 28 settembre 2011</w:t>
      </w:r>
    </w:p>
    <w:p>
      <w:pPr>
        <w:pStyle w:val="Heading2"/>
      </w:pPr>
      <w:r>
        <w:t>Regeste</w:t>
      </w:r>
    </w:p>
    <w:p>
      <w:r>
        <w:t>ASSISTANCE JUDICIAIRE, PLAIGNANT | 136 CPP (CH), 393 al. 1 let. a CPP (CH)</w:t>
      </w:r>
    </w:p>
    <w:p>
      <w:pPr>
        <w:pStyle w:val="Heading2"/>
      </w:pPr>
      <w:r>
        <w:t>Erwägungen</w:t>
      </w:r>
    </w:p>
    <w:p>
      <w:r>
        <w:rPr>
          <w:b/>
        </w:rPr>
        <w:t>E. 1</w:t>
      </w:r>
    </w:p>
    <w:p>
      <w:r>
        <w:t>Aux termes de l’art. 393 al. 1 let. a CPP (Code de procédure pénale suisse ; RS 312.0), le recours est recevable contre les décisions et actes de procédure du Ministère public. Une décision du Ministère public – qui est l’autorité investie de la direction de la procédure jusqu’à la décision de classement ou de mise en accusation (art. 61 let. a CPP) – refusant entièrement ou partiellement d’accorder l’assistance judiciaire à la partie plaignante (art. 136 CPP) est ainsi susceptible de recours selon les art. 393 ss CPP (Mazzuchelli/Postizzi, in Niggli/Heer/Wiprächtiger (éd.), Basler Kommentar, Schweizerische Strafprozessordnung, Jugendstrafprozessordnung, Bâle 2011, n. 21 ad art. 132 CPP; Harari/ Corminboeuf, in Kuhn/Jeanneret (éd.), Commentaire romand, Code de procédure pénale suisse, Bâle 2011, n. 16 ad art. 136 CPP). Ce recours s’exerce auprès de l’autorité de recours (cf. art. 20 al. 1 let. b CPP), qui dans le canton de Vaud est la Chambre des recours pénale du Tribunal cantonal (art. 13 LVCPP [loi d’introduction du code de procédure pénale suisse ; RSV 312.01]; art. 80 LOJV [loi d’organisation judiciaire;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Selon  l’art. 136 al. 1 CPP, la direction de la procédure accorde entièrement ou partiellement l’assistance judiciaire à la partie plaignante pour lui permettre de faire valoir ses prétentions civiles, à condition que (a) la partie plaignante soit indigente et que (b) l’action civile ne paraisse pas vouée à l’échec. Aux termes de l’art. 136 al. 2 CPP, l’assistance judiciaire comprend (a) l’exonération d’avances de frais et de sûretés, (b) l’exonération des frais de procédure et (c) la désignation d’un conseil juridique gratuit, lorsque la défense des intérêts de la partie plaignante l’exige. b) Les chances de succès de l’action civile doivent être examinées par l’autorité compétente lors du dépôt de la requête d’assistance judiciaire (Harari/Corminboeuf, op. cit., n. 32 ad art. 136 CPP; Mazzuchelli/Postizzi, op. cit., n. 14 ad art. 136 CPP et les références citées). D'après la jurisprudence du Tribunal fédéral, un procès doit être considéré comme dépourvu de chances de succès si les chances de le gagner sont sensiblement inférieures aux risques de le perdre et si elles ne peuvent donc guère être qualifiées de sérieuses; en revanche, la démarche n'est pas dépourvue de chances de succès si les chances de gagner et les risques de perdre sont à peu près équivalents ou si les premières ne sont que de peu inférieures aux seconds; ce qui est déterminant est de savoir si une partie, qui dispose des ressources financières nécessaires, se lancerait ou non dans le procès après une analyse raisonnable; une partie ne doit pas pouvoir mener un procès qu'elle ne conduirait pas à ses frais, uniquement parce qu'il ne lui coûte rien (ATF 133 III 614 c. 5; ATF 129 I 129 c. 2.3.1; ATF 128 I 225 c. 2.5.3; cf. Harari/Corminboeuf, op. cit., n. 33 ad art. 136 CPP; Mazzuchelli/Postizzi, op. cit., n. 14 ad art. 136 CPP). c)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op. cit.,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 que le fait d’être mineur, l’état de santé physique ou psychique ou l’absence de maîtrise de la langue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c) En l’occurrence, si le recourant n’a pas à ce stade fait valoir de prétentions civiles, dont le calcul et la motivation devront être présentés au plus tard durant les plaidoiries devant le tribunal de première instance (art. 123 al. 2 CPP), il n’apparaît pas que l’assistance d’un avocat soit nécessaire en l’espèce pour faire valoir d’éventuelles prétentions civiles sur le vu des faits allégués par le recourant dans sa plainte. La cause ne présente par ailleurs aucune difficulté particulière sur le plan des faits ou du droit. Enfin, on ne discerne pas de circonstances tenant à la personne du recourant qui nécessiteraient l’assistance d’un avocat, étant précisé que l’allégation du recourant, selon laquelle il ne serait «un secret pour personne que les déclarations des forces de police prennent généralement le pas sur celles d’un administré avec lequel elles auraient eu maille à partir», n’apparaît pas pertinente à cet égard. Dans ces circonstances, le refus de désigner un conseil juridique gratuit au recourant dans la procédure PE11.020239 échappe à la critique.</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660 fr. (art. 20 al. 1 TFJP [tarif des frais judiciaires pénaux; RSV 312.03.1]), seront mis à la charge du recourant, qui succombe (art. 428 al. 1 CPP). Par ces motifs, la Chambre des recours pénale, statuant à huis clos prononce : I. Le recours est rejeté. II. La décision est confirmée. III. Les frais de la procédure de recours, par 660 fr. (six cent soixante francs), sont mis à la charge de P.________. IV. Le présent arrêt est exécutoire. Le président :               La greffière : Du L'arrêt qui précède, dont la rédaction a été approuvée à huis clos, est notifié, par l'envoi d'une copie complète, à : - M. Charles Munoz, avocat (pour P.________), - M. L.________, - M. W.________, - Ministère public central, et communiqué à : ‑ Mme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