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198 vom 12. März 2012</w:t>
      </w:r>
    </w:p>
    <w:p>
      <w:r>
        <w:t>VD Tribunal cantonal, 2012-03-12, FR</w:t>
      </w:r>
    </w:p>
    <w:p>
      <w:r>
        <w:rPr>
          <w:b/>
        </w:rPr>
        <w:t xml:space="preserve">Quelle: </w:t>
      </w:r>
      <w:r>
        <w:t>https://mcp.opencaselaw.ch/entscheid/vd_findinfo_D_cision___2012___198</w:t>
      </w:r>
    </w:p>
    <w:p>
      <w:r>
        <w:t>FR: VD_FINDINFO Décision / 2012 / 198 du 12 mars 2012</w:t>
      </w:r>
    </w:p>
    <w:p>
      <w:r>
        <w:t>IT: VD_FINDINFO Décision / 2012 / 198 del 12 marzo 2012</w:t>
      </w:r>
    </w:p>
    <w:p>
      <w:pPr>
        <w:pStyle w:val="Heading2"/>
      </w:pPr>
      <w:r>
        <w:t>Regeste</w:t>
      </w:r>
    </w:p>
    <w:p>
      <w:r>
        <w:t>DÉTENTION PRÉVENTIVE, RISQUE DE RÉCIDIVE | 222 CPP (CH), 393 al. 1 let. c CPP (CH)</w:t>
      </w:r>
    </w:p>
    <w:p>
      <w:pPr>
        <w:pStyle w:val="Heading2"/>
      </w:pPr>
      <w:r>
        <w:t>Erwägungen</w:t>
      </w:r>
    </w:p>
    <w:p>
      <w:r>
        <w:rPr>
          <w:b/>
        </w:rPr>
        <w:t>E. 1</w:t>
      </w:r>
    </w:p>
    <w:p>
      <w:r>
        <w:t>Aux termes de l’art. 393 al. 1 let. c CPP (Code de procédure pénale suisse;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Nonobstant la formulation de cette disposition, qui ne prévoit apparemment pas le recours du Ministère public, le Tribunal fédéral a considéré que le silence de la loi à propos du droit de recours du Ministère public n’était pas intentionnel, mais résultait d’un oubli du législateur, et que l’intérêt public à une bonne administration de la justice commandait de reconnaître au Ministère public le droit d’interjeter un recours, au sens des art. 393 ss CPP, contre une décision de mise en liberté rendue par le Tribunal des mesures de contrainte (ATF 137 IV 22  c. 1.2 à 1.4 et les références citées, jurisprudence confirmée ultérieurement à l’ATF 137 IV 87 et à l’ATF 137 IV 230 c. 1). Adressé par écrit, dans le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 RSV 312.01]; art. 80 LOJV [loi d’organisation judiciaire; RSV 173.01]), le recours est donc recevable.</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Selon l’art. 212 al. 3 CPP – qui concrétise les art. 31 al. 3 Cst. (Constitution fédérale de la Confédération suisse du 18 avril 1999; RS 101) et 5 par. 3 CEDH (Convention du 4 novembre 1950 de sauvegarde des droits de l’homme et des libertés fondamentales; RS 0.101), en vertu desquels toute personne qui est mise en détention préventive a le droit d’être jugée dans un délai raisonnable ou d’être libérée pendant la procédure pénale –, la détention provisoire et la détention pour des motifs de sûreté ne doivent pas durer plus longtemps que la peine privative de liberté prévisible. b) En l’espèce, il existe manifestement des présomptions sérieuses de culpabilité et les risques de fuite et de réitération sont manifestes, ayant d’ailleurs été admis par le Tribunal des mesures de contrainte. Par ailleurs, au vu des faits qui lui sont reprochés – soit la vente de 79.2 grammes de cocaïne et la détention de 54.5 grammes de cette drogue, dont le degré de pureté moyenne en cocaïne des échantillons analysés est de 23.7% –, le recourant est susceptible d’être condamné à une peine privative de liberté d’un an au moins (art. 19 al. 2 let. a LStup), étant rappelé selon la jurisprudence constante relative à l'art. 19 LStup, la vente de 18 grammes de cocaïne pure suffit à mettre en danger la santé de nombreuses personnes (ATF 122 IV 360 c. 2a; ATF 120 IV 334 c. 2a; ATF 119 IV 180 c. 2d; ATF 109 IV 143 c. 3). Le principe de la proportionnalité demeure donc respecté.</w:t>
      </w:r>
    </w:p>
    <w:p>
      <w:r>
        <w:rPr>
          <w:b/>
        </w:rPr>
        <w:t>E. 3</w:t>
      </w:r>
    </w:p>
    <w:p>
      <w:r>
        <w:t>Il reste ainsi à examiner si la prolongation de la détention provisoire du recourant se heurterait au principe de la célérité, comme l’a estimé le Tribunal des mesures de contrainte. a) Concrétisant le principe de la célérité consacré par l’art. 29 al. 1 Cst., l'art. 5 CPP impose aux autorités pénales d'engager les procédures pénales sans délai et de les mener à terme sans retard injustifié (al. 1), la procédure devant être conduite en priorité lorsqu'un prévenu est placé en détention (al. 2). L'incarcération peut être considérée comme disproportionnée en cas de retard injustifié dans le cours de la procédure pénale (ATF 128 I 149 c. 2.2.1; ATF 123 I 268 c. 3a; ATF 116 Ia 147 c. 5a; ATF 107 Ia 257 c. 2 et 3). Il doit toutefois s'agir d'un manquement particulièrement grave, faisant au surplus apparaître que l'autorité de poursuite pénale n'est plus en mesure de conduire la procédure à chef dans un délai raisonnable (ATF 128 I 149 c. 2.2.1).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c. 3.4.2 et les arrêts cités). Après la clôture de l'instruction, le prévenu doit en principe être renvoyé devant le juge du fond dans un délai qui, pour être conforme aux exigences des art. 10 Cst., 5 CPP et 5 par. 3 CEDH, ne devrait pas excéder quelques semaines, voire quelques mois (TF 1B_684_2011 du 21 décembre 2011 c. 3.1; cf. TF 1B_419/2011 du 13 septembre 2011 c. 2.1 pour les durées jugées conformes au principe de la célérité). b) En l’espèce, il appert que depuis la dernière ordonnance du Tribunal des mesures de contrainte du 29 novembre 2011, une confrontation entre le prévenu et une autre personne a été organisée le 30 novembre 2011, une ordonnance de séquestre concernant le prévenu a été rendue le 17 février 2012 et le rapport de  synthèse de la police de sûreté du 20 février 2012 a été déposé en copie le 23 février 2012 (P. 45) et en original le 27 février 2012 (P. 49). Comme l’indique le Procureur dans son recours, le dossier va ainsi, après ces opérations nécessaires qui ont été conduites sans retard excessif, pouvoir être mis en prochaine clôture (art. 318 al. 1 CPP) après une audition récapitulative du prévenu et l’acte d’accusation rédigé en vue d’un prochain renvoi devant un tribunal, de sorte que le principe de la célérité apparaît encore respecté. Vu l’existence de risques de fuite et de réitération et dès lors que la durée de la détention provisoire demeure proportionnée au regard de la peine encourue (cf. c. 2b supra), la détention provisoire du recourant doit être prolongée pour une durée de trois mois (art. 227 al. 7 CPP).</w:t>
      </w:r>
    </w:p>
    <w:p>
      <w:r>
        <w:rPr>
          <w:b/>
        </w:rPr>
        <w:t>E. 4</w:t>
      </w:r>
    </w:p>
    <w:p>
      <w:r>
        <w:t>Il résulte de ce qui précède que le recours du Ministère public, fondé, doit être admis et l’ordonnance attaquée réformée en ce sens que la prolongation de la détention provisoire de X.________ est ordonnée et que la durée maximale de la prolongation est fixée à trois mois, soit au plus tard jusqu’au 7 juin 2012. Les frais de la procédure de recours, constitués en l’espèce de l’émolument d'arrêt, par 880 fr. (art. 20 al. 1 TFJP [tarif des frais judiciaires pénaux; RSV 312.03.1]) et des frais imputables à la défense d’office (art. 422 al. 1 et 2 let. a CPP), fixés à 360 fr. plus la TVA par 28 fr. 80, soit un total de 388 fr. 80,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I. Le recours est admis. II. L'ordonnance du 2 mars 2012 est réformée comme suit aux chiffres I et II de son dispositif: " I. Ordonne la prolongation de la détention provisoire de X.________. II. Fixe la durée maximale de la prolongation à trois mois, soit au plus tard jusqu'au 7 juin 2012." III. L'indemnité allouée au défenseur d'office de X.________ est fixée à 388 fr. 80 (trois cent huitante-huit francs et huitante centimes). IV. Les frais d'arrêt, par 880 fr. (huit cent huitante francs), ainsi que l'indemnité due au défenseur d'office de X.________, par 388 fr. 80 (trois cent huitante-huit francs et huitante centimes), sont mis à la charge de ce dernier. V. Le remboursement à l'Etat de l'indemnité allouée au chiffre III ci-dessus sera exigible pour autant que la situation économique du recourant se soit améliorée. VI. Le présent arrêt est exécutoire. Le président :               La greffière : Du L'arrêt qui précède, dont la rédaction a été approuvée à huis clos, est notifié, par l'envoi d'une copie complète, à : - M. Laurent Gilliard, avocat (pour X.________) (et par fax), - Ministère public central (et par fax), et communiqué à : ‑ Mme la Présidente du Tribunal des mesures de contrainte (et par fax), - M. le Procureur de l'arrondissement du Nord vaudois (et par fax), - Direction de la prison du Bois-Mermet (et par fax),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