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190 vom 20. Februar 2012</w:t>
      </w:r>
    </w:p>
    <w:p>
      <w:r>
        <w:t>VD Tribunal cantonal, 2012-02-20, FR</w:t>
      </w:r>
    </w:p>
    <w:p>
      <w:r>
        <w:rPr>
          <w:b/>
        </w:rPr>
        <w:t xml:space="preserve">Quelle: </w:t>
      </w:r>
      <w:r>
        <w:t>https://mcp.opencaselaw.ch/entscheid/vd_findinfo_D_cision___2012___190</w:t>
      </w:r>
    </w:p>
    <w:p>
      <w:r>
        <w:t>FR: VD_FINDINFO Décision / 2012 / 190 du 20 février 2012</w:t>
      </w:r>
    </w:p>
    <w:p>
      <w:r>
        <w:t>IT: VD_FINDINFO Décision / 2012 / 190 del 20 febbraio 2012</w:t>
      </w:r>
    </w:p>
    <w:p>
      <w:pPr>
        <w:pStyle w:val="Heading2"/>
      </w:pPr>
      <w:r>
        <w:t>Regeste</w:t>
      </w:r>
    </w:p>
    <w:p>
      <w:r>
        <w:t>ORDONNANCE DE SÉQUESTRE | 263 CPP (CH), 393 al. 1 let. a CPP (CH)</w:t>
      </w:r>
    </w:p>
    <w:p>
      <w:pPr>
        <w:pStyle w:val="Heading2"/>
      </w:pPr>
      <w:r>
        <w:t>Volltext</w:t>
      </w:r>
    </w:p>
    <w:p>
      <w:r>
        <w:t>Vaud Tribunal cantonal Cour d'appel civile 07.03.2012 Décision / 2012 / 190</w:t>
      </w:r>
    </w:p>
    <w:p>
      <w:r>
        <w:t>ORDONNANCE DE SÉQUESTRE | 263 CPP (CH), 393 al. 1 let. a CPP (CH)</w:t>
      </w:r>
    </w:p>
    <w:p>
      <w:r>
        <w:t>TRIBUNAL CANTONAL 109 AM12.002664-AMNV CHAMBRE DES RECOURS PENALE __________________________________________ Séance du 7 mars 2012 __________________ Présidence de               Mme Epard , vice-présidente Juges :              M. Abrecht et Mme Byrde Greffier :              M. Heumann ***** Art. 263 et 393 al. 1 let. a CPP Vu l' enquête n° AM12.002664-AMNV instruite par le Ministère public de l'arrondissement du Nord vaudois contre N.________ pour infraction à la loi fédérale sur les stupéfiants et les substances psychotropes (LStup; RS 812.121), sur dénonciation du Service pénitentiaire de l'Etat de Vaud , vu l'ordonnance du 20 février 2012, par laquelle le Procureur a ordonné le séquestre d'un sachet minigrip contenant un double du rapport Protectas et un petit morceau de haschich, vu le recours interjeté en temps utile par N.________ contre cette décision,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qu'il est reproché à N.________ d'avoir envoyé à son mari, [...], actuellement détenu à la Prison de la Croisée, «un sachet minigrip contenant un double du rapport Protectas et un petit bout de haschich», que le petit morceau de haschich a été découvert par le personnel de la Prison de la Croisée, le 26 janvier 2012, dans un colis adressé par N.________ à son mari, que ces faits ont été dénoncés par cet établissement auprès de la police de sûreté, laquelle a établi un rapport (P. 4), que, par ordonnance du 20 février 2012, le Procureur a ordonné le séquestre de la marchandise envoyée par N.________ à son mari, que N.________ conteste cette décision; attendu que l'art. 263 al. 2 CPP prévoit que le séquestre est ordonné par voie d'ordonnance écrite, brièvement motivée, qu'en l'espèce, il est douteux que les exigences de motivation de l'ordonnance de séquestre soient respectées, un simple renvoi aux dispositions légales concernées étant insuffisant, que, toutefois, le cas étant simple, la cour de céans peut y remédier,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qu'il est admis qu'un soupçon crédible ou un début de preuve de l'existence de l'infraction reprochée suffise à permettre le séquestre (Lembo/Julen Berthod, in: Kuhn/Jeanneret (éd.), Commentaire romand, Code de procédure pénale suisse, Bâle 2011, n. 22 ad art. 263 CPP), qu'en l'espèce, la recourante conteste être l'auteur de l'envoi, en invoquant qu'il est facile d'usurper l'identité de quelqu'un, dès lors que la Poste ne procède à aucun contrôle d'identité lors des envois postaux, que toutefois, N.________ a déjà envoyé, au moins par deux fois, des colis à son mari durant les mois précédents, que le colis, dans lequel le sachet minigrip précité a été trouvé, portait la mention de N.________ comme expéditrice, qu'à ce stade de l'enquête, il y a lieu d'admettre qu'il y a un soupçon crédible selon lequel le sachet minigrip a été expédié par N.________, laquelle pourrait ainsi s'être rendue coupable d'infraction à la Lstup, que les arguments de fond exposés par la recourante ne sont pas pertinents dans le cadre de l'examen du bien-fondé du séquestre, que le séquestre doit dès lors être admis à des fins probatoires et en vue d'une éventuelle confiscation (cf. art. 263 al. 1 let. a et d CPP), qu'au vu de ces éléments, c'est à bon droit que le Procureur a ordonné le séquestre litigieux; attendu, en définitive, que le recours est rejeté et l'ordonnance confirmée, que les frais de la procédure de recours, par 330 fr. (art. 20 al. 1 TFJP [tarif des frais judiciaires pénaux du 28 septembre 2010; RSV 312.03.1]), sont mis à la charge de la recourante, qui succombe (art. 428 al. 1 CPP). Par ces motifs, la Chambre des recours pénale, statuant à huis clos : I. Rejette le recours. II. Confirme l'ordonnance. III. Dit que les frais de la procédure de recours, par 330 fr. (trois cent trente francs), sont mis à la charge de N.________. IV. Déclare le présent arrêt exécutoire. La vice-présidente : Le greffier : Du L'arrêt qui précède, dont la rédaction a été approuvée à huis clos, est notifié, par l'envoi d'une copie complète, à : - Mme N.________,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