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183 vom 3. Februar 2012</w:t>
      </w:r>
    </w:p>
    <w:p>
      <w:r>
        <w:t>VD Tribunal cantonal, 2012-02-03, FR</w:t>
      </w:r>
    </w:p>
    <w:p>
      <w:r>
        <w:rPr>
          <w:b/>
        </w:rPr>
        <w:t xml:space="preserve">Quelle: </w:t>
      </w:r>
      <w:r>
        <w:t>https://mcp.opencaselaw.ch/entscheid/vd_findinfo_D_cision___2012___183</w:t>
      </w:r>
    </w:p>
    <w:p>
      <w:r>
        <w:t>FR: VD_FINDINFO Décision / 2012 / 183 du 3 février 2012</w:t>
      </w:r>
    </w:p>
    <w:p>
      <w:r>
        <w:t>IT: VD_FINDINFO Décision / 2012 / 183 del 3 febbraio 2012</w:t>
      </w:r>
    </w:p>
    <w:p>
      <w:pPr>
        <w:pStyle w:val="Heading2"/>
      </w:pPr>
      <w:r>
        <w:t>Regeste</w:t>
      </w:r>
    </w:p>
    <w:p>
      <w:r>
        <w:t>AVOCAT D'OFFICE, INDEMNITÉ ÉQUITABLE | 135 al. 3 let. a CPP (CH), 395 let. b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Niggli/Heer/Wiprächtiger (éd.), Basler Kommentar, Schweizerische Strafprozessordnung, Jugendstrafprozessordnung, Bâle 2011, n. 15 ad art. 135 CPP; Harari/Aliberti,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du prévenu qui a qualité pour recourir contre la décision fixant son indemnité, de sorte qu’il convient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due au défenseur d'office entre dans la notion de conséquences économiques d'une décision (Rémy, in: Kuhn/Jeanneret (éd.),  op. cit., n. 2 ad art. 395 CPP, p. 1763; Schmid, Handbuch des schweizerischen Strafprozessrechts, 2009, n. 1521, p. 697; Stephenson/Thiriet, in : Niggli/Heer/Wiprächtiger (éd.), op. cit., n. 5 ad art. 395 CPP, p. 2628;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et la somme allouée par la décision attaquée (cf. Stephenson/Thiriet, op. cit., n. 6 ad art. 395 CPP, p. 2629). En l'occurrence, le montant réclamé par la recourante s'élève à 2'479 fr. 80, TVA comprise, et celui qui lui a été alloué par décision du 3 février 2012 à 1'957 fr. 05, TVA comprise. Le montant litigieux s’élève ainsi à 522 fr. 75, de sorte que le recours relève de la compétence d'un juge unique de la Chambre des recours pénale (art. 395 let. b CPP; cf. CREP, 9 novembre 2011/477; CREP, 2 mars 2011/36).</w:t>
      </w:r>
    </w:p>
    <w:p>
      <w:r>
        <w:rPr>
          <w:b/>
        </w:rPr>
        <w:t>E. 2</w:t>
      </w:r>
    </w:p>
    <w:p>
      <w:r>
        <w:t>a) Selon l’art. 135 al. 1 CPP, applicable par analogie à l’indemnisation du conseil juridique gratuit (art. 138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en règle générale sans TVA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 En l'espèce, le Procureur a expliqué avoir réduit le nombre d'heures qu'il était raisonnable, selon son appréciation, d'avoir consacré à la défense d'Z.________. Se fondant sur la liste des opérations, il a procédé à des déductions s'agissant de certaines opérations, comme les téléphones ou lettres à l'EVAM, à la Fondation vaudoise de probation ou au service médical. Il a considéré que ces opérations n'entraient pas dans la mission confiée au défenseur d'office. Il a en outre réduit le temps de vacation entre Lausanne et Cully. L'appréciation du Procureur s'agissant des téléphones ou lettres envoyées à l'EVAM, ainsi qu'à la Fondation vaudoise de probation, en vue de récupérer une somme d'argent restée dans un casier du centre d'accueil ainsi que des vêtements appartenant à Z.________ ne prête pas le flanc à la critique. En effet, il n'appartient pas au défenseur d'office d'effectuer les tâches susmentionnées, qui s'apparentent bien plus à des tâches administratives, sans rapport avec la conduite du procès pénal, pouvant être, de surcroît, effectuées par l'assistant social de la prison lui-même. Contrairement à la décision du Procureur, force est d'admettre que le téléphone effectué au service médical de la prison, ainsi que la lettre adressée au psychiatre de la prison, sont des opérations qu'il y avait lieu d'indemniser. En effet, il était légitime que l'avocate [...] s'enquière du sort d'Z.________, dans la mesure où ce dernier avait été emmené à deux reprises à l'hôpital, suite à des tentatives de suicide, lesquelles pouvaient avoir une incidence sur les moyens à mettre en œuvre dans le cadre de la défense des intérêts du prénommé. Le Procureur a réduit de 30 minutes le temps de vacation entre Cully et Lausanne, sans toutefois justifier cette réduction, et sans se fonder sur un système d'indemnités forfaitaires. On comprend dès lors mal la raison pour laquelle le Procureur a décidé de réduire de près de la moitié le temps de vacation entre Cully et Lausanne, alors qu'il est notoire qu'on peut rencontrer, de manière générale dans le bassin lémanique et plus particulièrement sur ce tronçon, de nombreux problèmes de circulation. Dès lors, il n'y a pas lieu de mettre en doute le temps réel invoqué par l'avocate [...] pour ces trajets. Au vu de ce qui précède, seuls les téléphones et lettres envoyées à l'EVAM et à la Fondation vaudoise de probation ne doivent pas être pris en compte. En conséquence, il convient de déduire à la liste des opérations de la recourante, le montant afférent à ces opérations, soit 139 fr. 48 (indemnité, débours et TVA). L'indemnité de la recourante doit dès lors être fixée à 2'340 fr. 30, débours et TVA compris.</w:t>
      </w:r>
    </w:p>
    <w:p>
      <w:r>
        <w:rPr>
          <w:b/>
        </w:rPr>
        <w:t>E. 3</w:t>
      </w:r>
    </w:p>
    <w:p>
      <w:r>
        <w:t>ll résulte de ce qui précède que le recours doit être partiellement admis et la décision réformée en ce sens que l’indemnité due à la recourante pour son activité d'avocat d'office d'Z.________ est fixée à 2'340 fr. 30, débours et TVA compris. Les frais de la procédure de recours, constitués de l'émolument d'arrêt (art. 422 al. 1 CPP), par 540 fr. (art. 20 al. 1 TFJP; RSV 312.03.1), sont laissés à la charge de l'Etat (art. 428 al. 1 CPP). Par ces motifs, la Juge de la Chambre des recours pénale, statuant à huis clos, prononce : I. Le recours est admis. II. La décision du 3 février 2012 est réformée en ce sens que l'indemnité versée à Me [...] pour son activité d'avocat d'office d'Z.________ est fixée à 2'340 fr. 30 (deux mille trois cent quarante francs et trente centimes), débours et TVA compris. III. Les frais d'arrêt, par 540 fr. (six cent trente francs), sont laissés à la charge de l'Etat. IV. Le présent arrêt est exécutoire. La Juge :               Le greffier : Du L'arrêt qui précède, dont la rédaction a été approuvée à huis clos, est notifié, par l'envoi d'une copie complète, à : - Mme [...], avocate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