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169 vom 2. März 2012</w:t>
      </w:r>
    </w:p>
    <w:p>
      <w:r>
        <w:t>VD Tribunal cantonal, 2012-03-02, FR</w:t>
      </w:r>
    </w:p>
    <w:p>
      <w:r>
        <w:rPr>
          <w:b/>
        </w:rPr>
        <w:t xml:space="preserve">Quelle: </w:t>
      </w:r>
      <w:r>
        <w:t>https://mcp.opencaselaw.ch/entscheid/vd_findinfo_D_cision___2012___169</w:t>
      </w:r>
    </w:p>
    <w:p>
      <w:r>
        <w:t>FR: VD_FINDINFO Décision / 2012 / 169 du 2 mars 2012</w:t>
      </w:r>
    </w:p>
    <w:p>
      <w:r>
        <w:t>IT: VD_FINDINFO Décision / 2012 / 169 del 2 marzo 2012</w:t>
      </w:r>
    </w:p>
    <w:p>
      <w:pPr>
        <w:pStyle w:val="Heading2"/>
      </w:pPr>
      <w:r>
        <w:t>Regeste</w:t>
      </w:r>
    </w:p>
    <w:p>
      <w:r>
        <w:t>DÉTENTION PRÉVENTIVE, RISQUE DE RÉCIDIVE | 221 al. 1 let. c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ou (b) qu’il compromette la recherche de la vérité en exerçant une influence sur des personnes ou en altérant des moyens de preuve, ou encore (c) qu’il compromette sérieusement la sécurité d’autrui par des crimes ou des délits graves après avoir déjà commis des infractions du même genre.</w:t>
      </w:r>
    </w:p>
    <w:p>
      <w:r>
        <w:rPr>
          <w:b/>
        </w:rPr>
        <w:t>E. 3</w:t>
      </w:r>
    </w:p>
    <w:p>
      <w:r>
        <w:t>a) En l’espèce, c'est à juste titre que le recourant ne conteste pas l’existence à son égard de charges suffisantes quant aux infractions dont il lui est fait grief. La condition préalable posée par l'art. 221 al. 1 CPP doit ainsi être tenue pour remplie. A raison également, il ne soutient pas que son maintien en détention ne respecterait pas le principe de proportionnalité eu égard au rapport entre la durée de la détention provisoire déjà subie et la quotité de la peine privative de liberté dont il paraît passible. Cela étant, le prévenu ne conteste l'ordonnance qu'en se prévalant de l'art. 221 al. 1 let. c CPP et du principe général de proportionnalité. La décision attaquée se fonde sur le risque de récidive, soit de réitération, tenu pour particulièrement élevé, et sur la gravité des infractions sur lesquelles porte ce risque. Ces conditions légales sont cumulatives. L'art. 221 al. 1 let. c CPP est seul topique dans le présent litige. b) Une détention provisoire fondée sur le risque de réitération exige que le prévenu ait déjà commis des infractions du même genre que celle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graves et que l'infraction redoutée doit être similaire, sans pour autant être identique (ATF 137 IV 13 c. 3 et 4, JT 2011 IV 95; Schmocker, in : Kuhn/Jeanneret [éd.], Commentaire romand, Code de procédure pénale suisse, Bâle 2011, n. 18 ad art. 221 CPP, p. 1028). Les infractions commises par le passé peuvent résulter d'anciennes procédures pénales clôturées et entrées en force; elles peuvent cependant faire l'objet d'une procédure pénale encore pendante (ATF 137 IV 84 c. 3.2, JT 2011 IV 325). Parmi les infractions graves au sens de l'art. 221 al. 1 let. c CPP, le Tribunal fédéral range les infractions graves à la LStup; en ce sens, les éléments constitutifs de l'art. 19 ch. 2 LStup correspondent, vu le danger pour la santé de la population, à une infraction grave qui justifie le prononcé de la détention préventive (ATF 137 IV 84 précité c. 3.4, JT 2011 IV 325; TF 1P.614/2004 du 11 octobre 2006). En outre, le tribunal fédéral a dit que des vols avec effraction qui avaient pu dégénérer (parce que leur auteur avait commis par le passé des agressions et des brigandages) pouvaient être de nature à compromettre la sécurité d'autrui, mais a contrario pas des vols simples (TF 1B_731/2011 du 16 janvier 2012).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c) En l'espèce, il ressort de l'extrait de son casier judiciaire que le recourant a déjà commis des vols. Il n'a toutefois pas, à ce jour, été condamné pour des infractions à la LStup, mais pour une contravention. Force est de constater que, s'agissant des vols, ils ont été commis dans le délai d'épreuve imparti par le prononcé du 20 septembre 2011 et que le prévenu fait l'objet de nouvelles enquêtes, notamment pour infractions à la LStup et pour vol. Enfin, apparemment, l'intéressé n'a pas été en mesure de traiter sa dépendance. Cela étant, il faut admettre que le prévenu est hautement exposé à la réitération d'infractions du même genre, soit contre la LStup et contre le patrimoine. d) Autre est la question de savoir s'il compromet sérieusement la sécurité d’autrui par des crimes ou des délits graves au sens de l'art. 221 al. 1 let. c CPP. S'agissant des infractions à la LStup et en particulier du trafic d'héroïne, il y a cas grave au sens de l'art. 19 ch. 2 let. a LStup à partir de 12 grammes de drogue pure (ATF 109 IV 143, JT 1984 IV 84, dont les principes n'ont pas été affectés par le changement de jurisprudence consacré par l'ATF 117 IV 314). Dès cette limite, le trafic est considéré comme un crime, et non plus comme un délit. La modification de la loi entrée en vigueur le 1 er janvier 2007 n'a pas modifié la définition du cas grave. Dans le cas particulier, le trafic porte sur environ 15 g d'héroïne, dont on ignore toutefois le taux de pureté. Le recourant est un détaillant situé au bas du réseau, soit à un échelon où le taux de pureté de la drogue est faible selon l'expérience constante. La limite du cas grave selon la LStup n'est ainsi pas atteinte. Il s'agit donc d'un délit. Même s'il s'agit d'un cas limite, un trafic d'héroïne ne portant que sur quelques grammes de drogue pure pour financer une consommation personnelle ne peut encore être qualifié de délit grave au sens de l'art. 221 al. 1 let. c CPP. C'est aussi cette toxico-dépendance qui est à l'origine des infractions contre le patrimoine que l'intéressé commet de manière récurrente. Les vols à l'étalage ont été perpétrés sur une large échelle, mais pour des montant parfois dérisoires qui tombent sous le coup d'une contravention et non d'un délit (art. 172 ter CP). Il s'agit de vols simples n'impliquant pas une intrusion brutale dans la sphère privée de la victime. On ne saurait considérer qu'il s'agit de délits graves au sens de l'art. 221 al. 1 let. c CPP.</w:t>
      </w:r>
    </w:p>
    <w:p>
      <w:r>
        <w:rPr>
          <w:b/>
        </w:rPr>
        <w:t>E. 4</w:t>
      </w:r>
    </w:p>
    <w:p>
      <w:r>
        <w:t>Il résulte de ce qui précède que les conditions cumulatives auxquelles la détention provisoire peut être ordonnée selon l’art. 221 al. 1 let. c CPP ne sont pas réalisées en l’espèce. Il n'y a en conséquence pas lieu d'examiner l'opportunité d'une mesure de substitution, qui est soumise aux mêmes conditions que le détention provisoire. Le recourant aurait toutefois tout intérêt à poursuivre sur une base volontaire le traitement de sa toxicomanie. Le recours, fondé, doit dès lors être admis. Le prononcé attaqué est annulé et la mise en liberté immédiate du prévenu ordonnée. Vu l’issue du recours, les frais de la procédure de recours, constitués en l’espèce de l’émolument d'arrêt (art. 422 al. 1 CPP), par 880 fr. (art. 20 al. 1 TFJP; RSV 312.03.1), et des frais imputables à la défense d’office (art. 422 al. 1 et 2 let. a CPP), fixés à 720 fr., plus la TVA, par 57 fr. 60, soit 777 fr. 60, seront laissés à la charge de l’Etat (art. 428 al. 1 CPP; Domeisen, in : Niggli/Heer/Wiprächtiger [éd.], Schweizerische Strafprozessordnung, Basler Kommentar, Bâle 2011, n. 8 ad art. 428 CPP). Par ces motifs, la Chambre des recours pénale, statuant à huis clos : I. Admet le recours. II. Annule le prononcé attaqué. III. Ordonne la libération immédiate de C.________. IV. Fixe à 777 fr. 60 (sept cent septante-sept francs et soixante centimes) l'indemnité allouée au défenseur d'office de C.________. V. Dit que l'émolument d'arrêt, par 880 fr. (huit cent huitante francs), ainsi que l'indemnité due au défenseur d'office du recourant, par 777 fr. 60 (sept cent septante-sept francs et soixante centimes), sont laissés à la charge de l'Etat. VI. Déclare le présent arrêt exécutoire. Le président :               Le greffier : Du L'arrêt qui précède, dont la rédaction a été approuvée à huis clos, est notifié, par l'envoi d'une copie complète, à : - Mme Irène Schmidlin, avocate (pour C.________) (et par fax), - Ministère public central (et par fax), et communiqué à : - Office d'exécution des peines, - Monsieur le Surveillant-chef, Prison du Bois-Mermet (et par fax), ‑ Tribunal des mesures de contrainte, - Ministère public de l'arrondissement de La Côte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